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B8807" w14:textId="332C2614" w:rsidR="00DF6CE0" w:rsidRDefault="00E40BE6" w:rsidP="001F12CE">
      <w:pPr>
        <w:spacing w:after="0"/>
        <w:ind w:left="180" w:right="366" w:firstLine="180"/>
      </w:pPr>
      <w:r w:rsidRPr="00400DF1">
        <w:rPr>
          <w:rFonts w:asciiTheme="minorHAnsi" w:hAnsiTheme="minorHAnsi" w:cstheme="minorHAnsi"/>
          <w:noProof/>
        </w:rPr>
        <mc:AlternateContent>
          <mc:Choice Requires="wpg">
            <w:drawing>
              <wp:anchor distT="0" distB="0" distL="114300" distR="114300" simplePos="0" relativeHeight="251659776" behindDoc="0" locked="0" layoutInCell="1" allowOverlap="1" wp14:anchorId="0C907F62" wp14:editId="402DA377">
                <wp:simplePos x="0" y="0"/>
                <wp:positionH relativeFrom="page">
                  <wp:posOffset>-104776</wp:posOffset>
                </wp:positionH>
                <wp:positionV relativeFrom="page">
                  <wp:posOffset>-161925</wp:posOffset>
                </wp:positionV>
                <wp:extent cx="7915275" cy="1619250"/>
                <wp:effectExtent l="0" t="0" r="9525" b="0"/>
                <wp:wrapTopAndBottom/>
                <wp:docPr id="1286" name="Group 1286"/>
                <wp:cNvGraphicFramePr/>
                <a:graphic xmlns:a="http://schemas.openxmlformats.org/drawingml/2006/main">
                  <a:graphicData uri="http://schemas.microsoft.com/office/word/2010/wordprocessingGroup">
                    <wpg:wgp>
                      <wpg:cNvGrpSpPr/>
                      <wpg:grpSpPr>
                        <a:xfrm>
                          <a:off x="0" y="0"/>
                          <a:ext cx="7915275" cy="1619250"/>
                          <a:chOff x="0" y="0"/>
                          <a:chExt cx="7754739" cy="1470025"/>
                        </a:xfrm>
                      </wpg:grpSpPr>
                      <wps:wsp>
                        <wps:cNvPr id="1519" name="Shape 1519"/>
                        <wps:cNvSpPr/>
                        <wps:spPr>
                          <a:xfrm>
                            <a:off x="0" y="0"/>
                            <a:ext cx="7754739" cy="1470025"/>
                          </a:xfrm>
                          <a:custGeom>
                            <a:avLst/>
                            <a:gdLst/>
                            <a:ahLst/>
                            <a:cxnLst/>
                            <a:rect l="0" t="0" r="0" b="0"/>
                            <a:pathLst>
                              <a:path w="7754739" h="1470025">
                                <a:moveTo>
                                  <a:pt x="0" y="0"/>
                                </a:moveTo>
                                <a:lnTo>
                                  <a:pt x="7754739" y="0"/>
                                </a:lnTo>
                                <a:lnTo>
                                  <a:pt x="7754739" y="1470025"/>
                                </a:lnTo>
                                <a:lnTo>
                                  <a:pt x="0" y="1470025"/>
                                </a:lnTo>
                                <a:lnTo>
                                  <a:pt x="0" y="0"/>
                                </a:lnTo>
                              </a:path>
                            </a:pathLst>
                          </a:custGeom>
                          <a:ln w="0" cap="flat">
                            <a:miter lim="127000"/>
                          </a:ln>
                        </wps:spPr>
                        <wps:style>
                          <a:lnRef idx="0">
                            <a:srgbClr val="000000">
                              <a:alpha val="0"/>
                            </a:srgbClr>
                          </a:lnRef>
                          <a:fillRef idx="1">
                            <a:srgbClr val="DCDDDD"/>
                          </a:fillRef>
                          <a:effectRef idx="0">
                            <a:scrgbClr r="0" g="0" b="0"/>
                          </a:effectRef>
                          <a:fontRef idx="none"/>
                        </wps:style>
                        <wps:bodyPr/>
                      </wps:wsp>
                      <wps:wsp>
                        <wps:cNvPr id="1520" name="Shape 1520"/>
                        <wps:cNvSpPr/>
                        <wps:spPr>
                          <a:xfrm>
                            <a:off x="457200" y="346075"/>
                            <a:ext cx="610235" cy="687705"/>
                          </a:xfrm>
                          <a:custGeom>
                            <a:avLst/>
                            <a:gdLst/>
                            <a:ahLst/>
                            <a:cxnLst/>
                            <a:rect l="0" t="0" r="0" b="0"/>
                            <a:pathLst>
                              <a:path w="610235" h="687705">
                                <a:moveTo>
                                  <a:pt x="0" y="0"/>
                                </a:moveTo>
                                <a:lnTo>
                                  <a:pt x="610235" y="0"/>
                                </a:lnTo>
                                <a:lnTo>
                                  <a:pt x="610235" y="687705"/>
                                </a:lnTo>
                                <a:lnTo>
                                  <a:pt x="0" y="687705"/>
                                </a:lnTo>
                                <a:lnTo>
                                  <a:pt x="0" y="0"/>
                                </a:lnTo>
                              </a:path>
                            </a:pathLst>
                          </a:custGeom>
                          <a:ln w="0" cap="flat">
                            <a:miter lim="127000"/>
                          </a:ln>
                        </wps:spPr>
                        <wps:style>
                          <a:lnRef idx="0">
                            <a:srgbClr val="000000">
                              <a:alpha val="0"/>
                            </a:srgbClr>
                          </a:lnRef>
                          <a:fillRef idx="1">
                            <a:srgbClr val="4495D1"/>
                          </a:fillRef>
                          <a:effectRef idx="0">
                            <a:scrgbClr r="0" g="0" b="0"/>
                          </a:effectRef>
                          <a:fontRef idx="none"/>
                        </wps:style>
                        <wps:bodyPr/>
                      </wps:wsp>
                      <wps:wsp>
                        <wps:cNvPr id="185" name="Shape 185"/>
                        <wps:cNvSpPr/>
                        <wps:spPr>
                          <a:xfrm>
                            <a:off x="725805" y="346075"/>
                            <a:ext cx="697865" cy="687070"/>
                          </a:xfrm>
                          <a:custGeom>
                            <a:avLst/>
                            <a:gdLst/>
                            <a:ahLst/>
                            <a:cxnLst/>
                            <a:rect l="0" t="0" r="0" b="0"/>
                            <a:pathLst>
                              <a:path w="697865" h="687070">
                                <a:moveTo>
                                  <a:pt x="340995" y="0"/>
                                </a:moveTo>
                                <a:lnTo>
                                  <a:pt x="697865" y="687070"/>
                                </a:lnTo>
                                <a:lnTo>
                                  <a:pt x="0" y="687070"/>
                                </a:lnTo>
                                <a:lnTo>
                                  <a:pt x="340995" y="0"/>
                                </a:lnTo>
                                <a:close/>
                              </a:path>
                            </a:pathLst>
                          </a:custGeom>
                          <a:ln w="0" cap="flat">
                            <a:miter lim="127000"/>
                          </a:ln>
                        </wps:spPr>
                        <wps:style>
                          <a:lnRef idx="0">
                            <a:srgbClr val="000000">
                              <a:alpha val="0"/>
                            </a:srgbClr>
                          </a:lnRef>
                          <a:fillRef idx="1">
                            <a:srgbClr val="A7A9AC"/>
                          </a:fillRef>
                          <a:effectRef idx="0">
                            <a:scrgbClr r="0" g="0" b="0"/>
                          </a:effectRef>
                          <a:fontRef idx="none"/>
                        </wps:style>
                        <wps:bodyPr/>
                      </wps:wsp>
                      <wps:wsp>
                        <wps:cNvPr id="186" name="Shape 186"/>
                        <wps:cNvSpPr/>
                        <wps:spPr>
                          <a:xfrm>
                            <a:off x="725170" y="342900"/>
                            <a:ext cx="340995" cy="687070"/>
                          </a:xfrm>
                          <a:custGeom>
                            <a:avLst/>
                            <a:gdLst/>
                            <a:ahLst/>
                            <a:cxnLst/>
                            <a:rect l="0" t="0" r="0" b="0"/>
                            <a:pathLst>
                              <a:path w="340995" h="687070">
                                <a:moveTo>
                                  <a:pt x="340995" y="0"/>
                                </a:moveTo>
                                <a:lnTo>
                                  <a:pt x="340360" y="687070"/>
                                </a:lnTo>
                                <a:lnTo>
                                  <a:pt x="0" y="687070"/>
                                </a:lnTo>
                                <a:lnTo>
                                  <a:pt x="340995" y="0"/>
                                </a:lnTo>
                                <a:close/>
                              </a:path>
                            </a:pathLst>
                          </a:custGeom>
                          <a:ln w="0" cap="flat">
                            <a:miter lim="127000"/>
                          </a:ln>
                        </wps:spPr>
                        <wps:style>
                          <a:lnRef idx="0">
                            <a:srgbClr val="000000">
                              <a:alpha val="0"/>
                            </a:srgbClr>
                          </a:lnRef>
                          <a:fillRef idx="1">
                            <a:srgbClr val="1167B3"/>
                          </a:fillRef>
                          <a:effectRef idx="0">
                            <a:scrgbClr r="0" g="0" b="0"/>
                          </a:effectRef>
                          <a:fontRef idx="none"/>
                        </wps:style>
                        <wps:bodyPr/>
                      </wps:wsp>
                      <wps:wsp>
                        <wps:cNvPr id="187" name="Shape 187"/>
                        <wps:cNvSpPr/>
                        <wps:spPr>
                          <a:xfrm>
                            <a:off x="1083945" y="346075"/>
                            <a:ext cx="687070" cy="687070"/>
                          </a:xfrm>
                          <a:custGeom>
                            <a:avLst/>
                            <a:gdLst/>
                            <a:ahLst/>
                            <a:cxnLst/>
                            <a:rect l="0" t="0" r="0" b="0"/>
                            <a:pathLst>
                              <a:path w="687070" h="687070">
                                <a:moveTo>
                                  <a:pt x="343535" y="0"/>
                                </a:moveTo>
                                <a:lnTo>
                                  <a:pt x="390525" y="3175"/>
                                </a:lnTo>
                                <a:lnTo>
                                  <a:pt x="434975" y="12700"/>
                                </a:lnTo>
                                <a:lnTo>
                                  <a:pt x="477520" y="27305"/>
                                </a:lnTo>
                                <a:lnTo>
                                  <a:pt x="516890" y="46989"/>
                                </a:lnTo>
                                <a:lnTo>
                                  <a:pt x="553720" y="71755"/>
                                </a:lnTo>
                                <a:lnTo>
                                  <a:pt x="586740" y="100964"/>
                                </a:lnTo>
                                <a:lnTo>
                                  <a:pt x="615950" y="133985"/>
                                </a:lnTo>
                                <a:lnTo>
                                  <a:pt x="640080" y="170180"/>
                                </a:lnTo>
                                <a:lnTo>
                                  <a:pt x="660400" y="210185"/>
                                </a:lnTo>
                                <a:lnTo>
                                  <a:pt x="675005" y="252730"/>
                                </a:lnTo>
                                <a:lnTo>
                                  <a:pt x="683895" y="297180"/>
                                </a:lnTo>
                                <a:lnTo>
                                  <a:pt x="687070" y="343535"/>
                                </a:lnTo>
                                <a:lnTo>
                                  <a:pt x="683895" y="390525"/>
                                </a:lnTo>
                                <a:lnTo>
                                  <a:pt x="675005" y="434975"/>
                                </a:lnTo>
                                <a:lnTo>
                                  <a:pt x="660400" y="477520"/>
                                </a:lnTo>
                                <a:lnTo>
                                  <a:pt x="640080" y="516889"/>
                                </a:lnTo>
                                <a:lnTo>
                                  <a:pt x="615950" y="553720"/>
                                </a:lnTo>
                                <a:lnTo>
                                  <a:pt x="586740" y="586739"/>
                                </a:lnTo>
                                <a:lnTo>
                                  <a:pt x="553720" y="615950"/>
                                </a:lnTo>
                                <a:lnTo>
                                  <a:pt x="516890" y="640080"/>
                                </a:lnTo>
                                <a:lnTo>
                                  <a:pt x="477520" y="660400"/>
                                </a:lnTo>
                                <a:lnTo>
                                  <a:pt x="434975" y="675005"/>
                                </a:lnTo>
                                <a:lnTo>
                                  <a:pt x="390525" y="683895"/>
                                </a:lnTo>
                                <a:lnTo>
                                  <a:pt x="343535" y="687070"/>
                                </a:lnTo>
                                <a:lnTo>
                                  <a:pt x="297180" y="683895"/>
                                </a:lnTo>
                                <a:lnTo>
                                  <a:pt x="252730" y="675005"/>
                                </a:lnTo>
                                <a:lnTo>
                                  <a:pt x="210185" y="660400"/>
                                </a:lnTo>
                                <a:lnTo>
                                  <a:pt x="170180" y="640080"/>
                                </a:lnTo>
                                <a:lnTo>
                                  <a:pt x="133985" y="615950"/>
                                </a:lnTo>
                                <a:lnTo>
                                  <a:pt x="100965" y="586739"/>
                                </a:lnTo>
                                <a:lnTo>
                                  <a:pt x="71755" y="553720"/>
                                </a:lnTo>
                                <a:lnTo>
                                  <a:pt x="46990" y="516889"/>
                                </a:lnTo>
                                <a:lnTo>
                                  <a:pt x="27305" y="477520"/>
                                </a:lnTo>
                                <a:lnTo>
                                  <a:pt x="12700" y="434975"/>
                                </a:lnTo>
                                <a:lnTo>
                                  <a:pt x="3175" y="390525"/>
                                </a:lnTo>
                                <a:lnTo>
                                  <a:pt x="0" y="343535"/>
                                </a:lnTo>
                                <a:lnTo>
                                  <a:pt x="3175" y="297180"/>
                                </a:lnTo>
                                <a:lnTo>
                                  <a:pt x="12700" y="252730"/>
                                </a:lnTo>
                                <a:lnTo>
                                  <a:pt x="27305" y="210185"/>
                                </a:lnTo>
                                <a:lnTo>
                                  <a:pt x="46990" y="170180"/>
                                </a:lnTo>
                                <a:lnTo>
                                  <a:pt x="71755" y="133985"/>
                                </a:lnTo>
                                <a:lnTo>
                                  <a:pt x="100965" y="100964"/>
                                </a:lnTo>
                                <a:lnTo>
                                  <a:pt x="133985" y="71755"/>
                                </a:lnTo>
                                <a:lnTo>
                                  <a:pt x="170180" y="46989"/>
                                </a:lnTo>
                                <a:lnTo>
                                  <a:pt x="210185" y="27305"/>
                                </a:lnTo>
                                <a:lnTo>
                                  <a:pt x="252730" y="12700"/>
                                </a:lnTo>
                                <a:lnTo>
                                  <a:pt x="297180" y="3175"/>
                                </a:lnTo>
                                <a:lnTo>
                                  <a:pt x="343535" y="0"/>
                                </a:lnTo>
                                <a:close/>
                              </a:path>
                            </a:pathLst>
                          </a:custGeom>
                          <a:ln w="0" cap="flat">
                            <a:miter lim="127000"/>
                          </a:ln>
                        </wps:spPr>
                        <wps:style>
                          <a:lnRef idx="0">
                            <a:srgbClr val="000000">
                              <a:alpha val="0"/>
                            </a:srgbClr>
                          </a:lnRef>
                          <a:fillRef idx="1">
                            <a:srgbClr val="30BCED"/>
                          </a:fillRef>
                          <a:effectRef idx="0">
                            <a:scrgbClr r="0" g="0" b="0"/>
                          </a:effectRef>
                          <a:fontRef idx="none"/>
                        </wps:style>
                        <wps:bodyPr/>
                      </wps:wsp>
                      <wps:wsp>
                        <wps:cNvPr id="188" name="Shape 188"/>
                        <wps:cNvSpPr/>
                        <wps:spPr>
                          <a:xfrm>
                            <a:off x="1083945" y="494664"/>
                            <a:ext cx="340360" cy="537845"/>
                          </a:xfrm>
                          <a:custGeom>
                            <a:avLst/>
                            <a:gdLst/>
                            <a:ahLst/>
                            <a:cxnLst/>
                            <a:rect l="0" t="0" r="0" b="0"/>
                            <a:pathLst>
                              <a:path w="340360" h="537845">
                                <a:moveTo>
                                  <a:pt x="60960" y="0"/>
                                </a:moveTo>
                                <a:lnTo>
                                  <a:pt x="340360" y="537845"/>
                                </a:lnTo>
                                <a:lnTo>
                                  <a:pt x="294640" y="534670"/>
                                </a:lnTo>
                                <a:lnTo>
                                  <a:pt x="250190" y="525145"/>
                                </a:lnTo>
                                <a:lnTo>
                                  <a:pt x="208280" y="510540"/>
                                </a:lnTo>
                                <a:lnTo>
                                  <a:pt x="168910" y="490220"/>
                                </a:lnTo>
                                <a:lnTo>
                                  <a:pt x="132715" y="465455"/>
                                </a:lnTo>
                                <a:lnTo>
                                  <a:pt x="99695" y="436245"/>
                                </a:lnTo>
                                <a:lnTo>
                                  <a:pt x="71120" y="403225"/>
                                </a:lnTo>
                                <a:lnTo>
                                  <a:pt x="46355" y="367030"/>
                                </a:lnTo>
                                <a:lnTo>
                                  <a:pt x="26670" y="327661"/>
                                </a:lnTo>
                                <a:lnTo>
                                  <a:pt x="12065" y="285750"/>
                                </a:lnTo>
                                <a:lnTo>
                                  <a:pt x="3175" y="240665"/>
                                </a:lnTo>
                                <a:lnTo>
                                  <a:pt x="0" y="194311"/>
                                </a:lnTo>
                                <a:lnTo>
                                  <a:pt x="4445" y="141605"/>
                                </a:lnTo>
                                <a:lnTo>
                                  <a:pt x="16510" y="90805"/>
                                </a:lnTo>
                                <a:lnTo>
                                  <a:pt x="35560" y="43180"/>
                                </a:lnTo>
                                <a:lnTo>
                                  <a:pt x="60960" y="0"/>
                                </a:lnTo>
                                <a:close/>
                              </a:path>
                            </a:pathLst>
                          </a:custGeom>
                          <a:ln w="0" cap="flat">
                            <a:miter lim="127000"/>
                          </a:ln>
                        </wps:spPr>
                        <wps:style>
                          <a:lnRef idx="0">
                            <a:srgbClr val="000000">
                              <a:alpha val="0"/>
                            </a:srgbClr>
                          </a:lnRef>
                          <a:fillRef idx="1">
                            <a:srgbClr val="00A9E0"/>
                          </a:fillRef>
                          <a:effectRef idx="0">
                            <a:scrgbClr r="0" g="0" b="0"/>
                          </a:effectRef>
                          <a:fontRef idx="none"/>
                        </wps:style>
                        <wps:bodyPr/>
                      </wps:wsp>
                      <pic:pic xmlns:pic="http://schemas.openxmlformats.org/drawingml/2006/picture">
                        <pic:nvPicPr>
                          <pic:cNvPr id="190" name="Picture 190"/>
                          <pic:cNvPicPr/>
                        </pic:nvPicPr>
                        <pic:blipFill>
                          <a:blip r:embed="rId6"/>
                          <a:stretch>
                            <a:fillRect/>
                          </a:stretch>
                        </pic:blipFill>
                        <pic:spPr>
                          <a:xfrm>
                            <a:off x="0" y="2"/>
                            <a:ext cx="7754739" cy="1469134"/>
                          </a:xfrm>
                          <a:prstGeom prst="rect">
                            <a:avLst/>
                          </a:prstGeom>
                        </pic:spPr>
                      </pic:pic>
                      <wps:wsp>
                        <wps:cNvPr id="191" name="Rectangle 191"/>
                        <wps:cNvSpPr/>
                        <wps:spPr>
                          <a:xfrm>
                            <a:off x="0" y="2522"/>
                            <a:ext cx="165826" cy="895685"/>
                          </a:xfrm>
                          <a:prstGeom prst="rect">
                            <a:avLst/>
                          </a:prstGeom>
                          <a:ln>
                            <a:noFill/>
                          </a:ln>
                        </wps:spPr>
                        <wps:txbx>
                          <w:txbxContent>
                            <w:p w14:paraId="52612E20" w14:textId="77777777" w:rsidR="00D55C0C" w:rsidRDefault="00CE79C7">
                              <w:pPr>
                                <w:spacing w:after="160" w:line="259" w:lineRule="auto"/>
                                <w:ind w:right="0" w:firstLine="0"/>
                              </w:pPr>
                              <w:r>
                                <w:rPr>
                                  <w:sz w:val="87"/>
                                </w:rPr>
                                <w:t xml:space="preserve"> </w:t>
                              </w:r>
                            </w:p>
                          </w:txbxContent>
                        </wps:txbx>
                        <wps:bodyPr horzOverflow="overflow" vert="horz" lIns="0" tIns="0" rIns="0" bIns="0" rtlCol="0">
                          <a:noAutofit/>
                        </wps:bodyPr>
                      </wps:wsp>
                      <wps:wsp>
                        <wps:cNvPr id="192" name="Rectangle 192"/>
                        <wps:cNvSpPr/>
                        <wps:spPr>
                          <a:xfrm>
                            <a:off x="1984248" y="680754"/>
                            <a:ext cx="826679" cy="742280"/>
                          </a:xfrm>
                          <a:prstGeom prst="rect">
                            <a:avLst/>
                          </a:prstGeom>
                          <a:ln>
                            <a:noFill/>
                          </a:ln>
                        </wps:spPr>
                        <wps:txbx>
                          <w:txbxContent>
                            <w:p w14:paraId="4E6B345A" w14:textId="77777777" w:rsidR="00D55C0C" w:rsidRDefault="00CE79C7">
                              <w:pPr>
                                <w:spacing w:after="160" w:line="259" w:lineRule="auto"/>
                                <w:ind w:right="0" w:firstLine="0"/>
                              </w:pPr>
                              <w:r>
                                <w:rPr>
                                  <w:color w:val="221E20"/>
                                  <w:sz w:val="72"/>
                                </w:rPr>
                                <w:t xml:space="preserve">      </w:t>
                              </w:r>
                            </w:p>
                          </w:txbxContent>
                        </wps:txbx>
                        <wps:bodyPr horzOverflow="overflow" vert="horz" lIns="0" tIns="0" rIns="0" bIns="0" rtlCol="0">
                          <a:noAutofit/>
                        </wps:bodyPr>
                      </wps:wsp>
                      <wps:wsp>
                        <wps:cNvPr id="193" name="Rectangle 193"/>
                        <wps:cNvSpPr/>
                        <wps:spPr>
                          <a:xfrm>
                            <a:off x="2606040" y="680754"/>
                            <a:ext cx="1207700" cy="742280"/>
                          </a:xfrm>
                          <a:prstGeom prst="rect">
                            <a:avLst/>
                          </a:prstGeom>
                          <a:ln>
                            <a:noFill/>
                          </a:ln>
                        </wps:spPr>
                        <wps:txbx>
                          <w:txbxContent>
                            <w:p w14:paraId="5E517F19" w14:textId="77777777" w:rsidR="00D55C0C" w:rsidRDefault="00CE79C7">
                              <w:pPr>
                                <w:spacing w:after="160" w:line="259" w:lineRule="auto"/>
                                <w:ind w:right="0" w:firstLine="0"/>
                              </w:pPr>
                              <w:r>
                                <w:rPr>
                                  <w:color w:val="221E20"/>
                                  <w:sz w:val="72"/>
                                </w:rPr>
                                <w:t xml:space="preserve">NAC </w:t>
                              </w:r>
                            </w:p>
                          </w:txbxContent>
                        </wps:txbx>
                        <wps:bodyPr horzOverflow="overflow" vert="horz" lIns="0" tIns="0" rIns="0" bIns="0" rtlCol="0">
                          <a:noAutofit/>
                        </wps:bodyPr>
                      </wps:wsp>
                      <wps:wsp>
                        <wps:cNvPr id="194" name="Rectangle 194"/>
                        <wps:cNvSpPr/>
                        <wps:spPr>
                          <a:xfrm>
                            <a:off x="3514344" y="680754"/>
                            <a:ext cx="1467591" cy="742280"/>
                          </a:xfrm>
                          <a:prstGeom prst="rect">
                            <a:avLst/>
                          </a:prstGeom>
                          <a:ln>
                            <a:noFill/>
                          </a:ln>
                        </wps:spPr>
                        <wps:txbx>
                          <w:txbxContent>
                            <w:p w14:paraId="6258E075" w14:textId="77777777" w:rsidR="00D55C0C" w:rsidRDefault="00CE79C7">
                              <w:pPr>
                                <w:spacing w:after="160" w:line="259" w:lineRule="auto"/>
                                <w:ind w:right="0" w:firstLine="0"/>
                              </w:pPr>
                              <w:r>
                                <w:rPr>
                                  <w:b/>
                                  <w:color w:val="221E20"/>
                                  <w:sz w:val="72"/>
                                </w:rPr>
                                <w:t xml:space="preserve">Press </w:t>
                              </w:r>
                            </w:p>
                          </w:txbxContent>
                        </wps:txbx>
                        <wps:bodyPr horzOverflow="overflow" vert="horz" lIns="0" tIns="0" rIns="0" bIns="0" rtlCol="0">
                          <a:noAutofit/>
                        </wps:bodyPr>
                      </wps:wsp>
                      <wps:wsp>
                        <wps:cNvPr id="195" name="Rectangle 195"/>
                        <wps:cNvSpPr/>
                        <wps:spPr>
                          <a:xfrm>
                            <a:off x="4617720" y="680754"/>
                            <a:ext cx="1951924" cy="742280"/>
                          </a:xfrm>
                          <a:prstGeom prst="rect">
                            <a:avLst/>
                          </a:prstGeom>
                          <a:ln>
                            <a:noFill/>
                          </a:ln>
                        </wps:spPr>
                        <wps:txbx>
                          <w:txbxContent>
                            <w:p w14:paraId="6EDCE45C" w14:textId="77777777" w:rsidR="00D55C0C" w:rsidRDefault="00CE79C7">
                              <w:pPr>
                                <w:spacing w:after="160" w:line="259" w:lineRule="auto"/>
                                <w:ind w:right="0" w:firstLine="0"/>
                              </w:pPr>
                              <w:r>
                                <w:rPr>
                                  <w:b/>
                                  <w:color w:val="221E20"/>
                                  <w:sz w:val="72"/>
                                </w:rPr>
                                <w:t>Release</w:t>
                              </w:r>
                            </w:p>
                          </w:txbxContent>
                        </wps:txbx>
                        <wps:bodyPr horzOverflow="overflow" vert="horz" lIns="0" tIns="0" rIns="0" bIns="0" rtlCol="0">
                          <a:noAutofit/>
                        </wps:bodyPr>
                      </wps:wsp>
                      <wps:wsp>
                        <wps:cNvPr id="196" name="Rectangle 196"/>
                        <wps:cNvSpPr/>
                        <wps:spPr>
                          <a:xfrm>
                            <a:off x="6083808" y="680754"/>
                            <a:ext cx="137425" cy="742280"/>
                          </a:xfrm>
                          <a:prstGeom prst="rect">
                            <a:avLst/>
                          </a:prstGeom>
                          <a:ln>
                            <a:noFill/>
                          </a:ln>
                        </wps:spPr>
                        <wps:txbx>
                          <w:txbxContent>
                            <w:p w14:paraId="27792BE5" w14:textId="77777777" w:rsidR="00D55C0C" w:rsidRDefault="00CE79C7">
                              <w:pPr>
                                <w:spacing w:after="160" w:line="259" w:lineRule="auto"/>
                                <w:ind w:right="0" w:firstLine="0"/>
                              </w:pPr>
                              <w:r>
                                <w:rPr>
                                  <w:b/>
                                  <w:sz w:val="7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907F62" id="Group 1286" o:spid="_x0000_s1026" style="position:absolute;left:0;text-align:left;margin-left:-8.25pt;margin-top:-12.75pt;width:623.25pt;height:127.5pt;z-index:251659776;mso-position-horizontal-relative:page;mso-position-vertical-relative:page;mso-width-relative:margin;mso-height-relative:margin" coordsize="77547,1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">
                <v:shape id="Shape 1519" o:spid="_x0000_s1027" style="position:absolute;width:77547;height:14700;visibility:visible;mso-wrap-style:square;v-text-anchor:top" coordsize="7754739,147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" path="m,l7754739,r,1470025l,1470025,,e" fillcolor="#dcdddd" stroked="f" strokeweight="0">
                  <v:stroke miterlimit="83231f" joinstyle="miter"/>
                  <v:path arrowok="t" textboxrect="0,0,7754739,1470025"/>
                </v:shape>
                <v:shape id="Shape 1520" o:spid="_x0000_s1028" style="position:absolute;left:4572;top:3460;width:6102;height:6877;visibility:visible;mso-wrap-style:square;v-text-anchor:top" coordsize="61023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" path="m,l610235,r,687705l,687705,,e" fillcolor="#4495d1" stroked="f" strokeweight="0">
                  <v:stroke miterlimit="83231f" joinstyle="miter"/>
                  <v:path arrowok="t" textboxrect="0,0,610235,687705"/>
                </v:shape>
                <v:shape id="Shape 185" o:spid="_x0000_s1029" style="position:absolute;left:7258;top:3460;width:6978;height:6871;visibility:visible;mso-wrap-style:square;v-text-anchor:top" coordsize="69786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" path="m340995,l697865,687070,,687070,340995,xe" fillcolor="#a7a9ac" stroked="f" strokeweight="0">
                  <v:stroke miterlimit="83231f" joinstyle="miter"/>
                  <v:path arrowok="t" textboxrect="0,0,697865,687070"/>
                </v:shape>
                <v:shape id="Shape 186" o:spid="_x0000_s1030" style="position:absolute;left:7251;top:3429;width:3410;height:6870;visibility:visible;mso-wrap-style:square;v-text-anchor:top" coordsize="3409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" path="m340995,r-635,687070l,687070,340995,xe" fillcolor="#1167b3" stroked="f" strokeweight="0">
                  <v:stroke miterlimit="83231f" joinstyle="miter"/>
                  <v:path arrowok="t" textboxrect="0,0,340995,687070"/>
                </v:shape>
                <v:shape id="Shape 187" o:spid="_x0000_s1031" style="position:absolute;left:10839;top:3460;width:6871;height:6871;visibility:visible;mso-wrap-style:square;v-text-anchor:top" coordsize="68707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" path="m343535,r46990,3175l434975,12700r42545,14605l516890,46989r36830,24766l586740,100964r29210,33021l640080,170180r20320,40005l675005,252730r8890,44450l687070,343535r-3175,46990l675005,434975r-14605,42545l640080,516889r-24130,36831l586740,586739r-33020,29211l516890,640080r-39370,20320l434975,675005r-44450,8890l343535,687070r-46355,-3175l252730,675005,210185,660400,170180,640080,133985,615950,100965,586739,71755,553720,46990,516889,27305,477520,12700,434975,3175,390525,,343535,3175,297180r9525,-44450l27305,210185,46990,170180,71755,133985r29210,-33021l133985,71755,170180,46989,210185,27305,252730,12700,297180,3175,343535,xe" fillcolor="#30bced" stroked="f" strokeweight="0">
                  <v:stroke miterlimit="83231f" joinstyle="miter"/>
                  <v:path arrowok="t" textboxrect="0,0,687070,687070"/>
                </v:shape>
                <v:shape id="Shape 188" o:spid="_x0000_s1032" style="position:absolute;left:10839;top:4946;width:3404;height:5379;visibility:visible;mso-wrap-style:square;v-text-anchor:top" coordsize="340360,53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" path="m60960,l340360,537845r-45720,-3175l250190,525145,208280,510540,168910,490220,132715,465455,99695,436245,71120,403225,46355,367030,26670,327661,12065,285750,3175,240665,,194311,4445,141605,16510,90805,35560,43180,60960,xe" fillcolor="#00a9e0" stroked="f" strokeweight="0">
                  <v:stroke miterlimit="83231f" joinstyle="miter"/>
                  <v:path arrowok="t" textboxrect="0,0,340360,5378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33" type="#_x0000_t75" style="position:absolute;width:77547;height:14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">
                  <v:imagedata r:id="rId7" o:title=""/>
                </v:shape>
                <v:rect id="Rectangle 191" o:spid="_x0000_s1034" style="position:absolute;top:25;width:1658;height:8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2612E20" w14:textId="77777777" w:rsidR="00D55C0C" w:rsidRDefault="00CE79C7">
                        <w:pPr>
                          <w:spacing w:after="160" w:line="259" w:lineRule="auto"/>
                          <w:ind w:right="0" w:firstLine="0"/>
                        </w:pPr>
                        <w:r>
                          <w:rPr>
                            <w:sz w:val="87"/>
                          </w:rPr>
                          <w:t xml:space="preserve"> </w:t>
                        </w:r>
                      </w:p>
                    </w:txbxContent>
                  </v:textbox>
                </v:rect>
                <v:rect id="Rectangle 192" o:spid="_x0000_s1035" style="position:absolute;left:19842;top:6807;width:826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4E6B345A" w14:textId="77777777" w:rsidR="00D55C0C" w:rsidRDefault="00CE79C7">
                        <w:pPr>
                          <w:spacing w:after="160" w:line="259" w:lineRule="auto"/>
                          <w:ind w:right="0" w:firstLine="0"/>
                        </w:pPr>
                        <w:r>
                          <w:rPr>
                            <w:color w:val="221E20"/>
                            <w:sz w:val="72"/>
                          </w:rPr>
                          <w:t xml:space="preserve">      </w:t>
                        </w:r>
                      </w:p>
                    </w:txbxContent>
                  </v:textbox>
                </v:rect>
                <v:rect id="Rectangle 193" o:spid="_x0000_s1036" style="position:absolute;left:26060;top:6807;width:12077;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E517F19" w14:textId="77777777" w:rsidR="00D55C0C" w:rsidRDefault="00CE79C7">
                        <w:pPr>
                          <w:spacing w:after="160" w:line="259" w:lineRule="auto"/>
                          <w:ind w:right="0" w:firstLine="0"/>
                        </w:pPr>
                        <w:r>
                          <w:rPr>
                            <w:color w:val="221E20"/>
                            <w:sz w:val="72"/>
                          </w:rPr>
                          <w:t xml:space="preserve">NAC </w:t>
                        </w:r>
                      </w:p>
                    </w:txbxContent>
                  </v:textbox>
                </v:rect>
                <v:rect id="Rectangle 194" o:spid="_x0000_s1037" style="position:absolute;left:35143;top:6807;width:14676;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6258E075" w14:textId="77777777" w:rsidR="00D55C0C" w:rsidRDefault="00CE79C7">
                        <w:pPr>
                          <w:spacing w:after="160" w:line="259" w:lineRule="auto"/>
                          <w:ind w:right="0" w:firstLine="0"/>
                        </w:pPr>
                        <w:r>
                          <w:rPr>
                            <w:b/>
                            <w:color w:val="221E20"/>
                            <w:sz w:val="72"/>
                          </w:rPr>
                          <w:t xml:space="preserve">Press </w:t>
                        </w:r>
                      </w:p>
                    </w:txbxContent>
                  </v:textbox>
                </v:rect>
                <v:rect id="Rectangle 195" o:spid="_x0000_s1038" style="position:absolute;left:46177;top:6807;width:19519;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6EDCE45C" w14:textId="77777777" w:rsidR="00D55C0C" w:rsidRDefault="00CE79C7">
                        <w:pPr>
                          <w:spacing w:after="160" w:line="259" w:lineRule="auto"/>
                          <w:ind w:right="0" w:firstLine="0"/>
                        </w:pPr>
                        <w:r>
                          <w:rPr>
                            <w:b/>
                            <w:color w:val="221E20"/>
                            <w:sz w:val="72"/>
                          </w:rPr>
                          <w:t>Release</w:t>
                        </w:r>
                      </w:p>
                    </w:txbxContent>
                  </v:textbox>
                </v:rect>
                <v:rect id="Rectangle 196" o:spid="_x0000_s1039" style="position:absolute;left:60838;top:6807;width:1374;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27792BE5" w14:textId="77777777" w:rsidR="00D55C0C" w:rsidRDefault="00CE79C7">
                        <w:pPr>
                          <w:spacing w:after="160" w:line="259" w:lineRule="auto"/>
                          <w:ind w:right="0" w:firstLine="0"/>
                        </w:pPr>
                        <w:r>
                          <w:rPr>
                            <w:b/>
                            <w:sz w:val="72"/>
                          </w:rPr>
                          <w:t xml:space="preserve"> </w:t>
                        </w:r>
                      </w:p>
                    </w:txbxContent>
                  </v:textbox>
                </v:rect>
                <w10:wrap type="topAndBottom" anchorx="page" anchory="page"/>
              </v:group>
            </w:pict>
          </mc:Fallback>
        </mc:AlternateContent>
      </w:r>
    </w:p>
    <w:p w14:paraId="545B8A3E" w14:textId="4B3009FA" w:rsidR="00C533DD" w:rsidRDefault="00CE79C7" w:rsidP="001F12CE">
      <w:pPr>
        <w:spacing w:after="0" w:line="240" w:lineRule="auto"/>
        <w:ind w:left="180" w:right="366" w:firstLine="180"/>
      </w:pPr>
      <w:r>
        <w:t xml:space="preserve">For immediate release </w:t>
      </w:r>
      <w:r w:rsidR="00C533DD">
        <w:rPr>
          <w:rFonts w:ascii="Times New Roman" w:eastAsia="Times New Roman" w:hAnsi="Times New Roman" w:cs="Times New Roman"/>
          <w:sz w:val="20"/>
        </w:rPr>
        <w:t xml:space="preserve">  </w:t>
      </w:r>
      <w:r w:rsidR="00C533DD">
        <w:rPr>
          <w:rFonts w:ascii="Times New Roman" w:eastAsia="Times New Roman" w:hAnsi="Times New Roman" w:cs="Times New Roman"/>
          <w:sz w:val="18"/>
        </w:rPr>
        <w:t xml:space="preserve"> </w:t>
      </w:r>
    </w:p>
    <w:p w14:paraId="4F136BCC" w14:textId="635A3421" w:rsidR="001607AD" w:rsidRDefault="00FE38A7" w:rsidP="001F12CE">
      <w:pPr>
        <w:spacing w:line="240" w:lineRule="auto"/>
        <w:ind w:left="180" w:right="366" w:firstLine="180"/>
      </w:pPr>
      <w:r>
        <w:t xml:space="preserve">June </w:t>
      </w:r>
      <w:r w:rsidR="008B17E8">
        <w:t>1</w:t>
      </w:r>
      <w:r w:rsidR="00880457">
        <w:t>1</w:t>
      </w:r>
      <w:r w:rsidR="00AE1943">
        <w:t>, 2024</w:t>
      </w:r>
    </w:p>
    <w:p w14:paraId="5C2A282A" w14:textId="77777777" w:rsidR="00564EC1" w:rsidRDefault="00564EC1" w:rsidP="001F12CE">
      <w:pPr>
        <w:spacing w:line="240" w:lineRule="auto"/>
        <w:ind w:left="180" w:right="366" w:firstLine="180"/>
      </w:pPr>
    </w:p>
    <w:p w14:paraId="7532C4A7" w14:textId="7D3E0038" w:rsidR="00400DF1" w:rsidRDefault="007813E6" w:rsidP="001F12CE">
      <w:pPr>
        <w:pStyle w:val="Heading1"/>
        <w:spacing w:line="240" w:lineRule="auto"/>
        <w:ind w:left="180" w:right="366" w:firstLine="180"/>
        <w:jc w:val="center"/>
      </w:pPr>
      <w:r>
        <w:t>NAC Selects Corps of Engineers’</w:t>
      </w:r>
      <w:r w:rsidR="00400DF1">
        <w:t xml:space="preserve"> Isabella Dam Safety Project </w:t>
      </w:r>
    </w:p>
    <w:p w14:paraId="27C65484" w14:textId="478A8A6B" w:rsidR="00D55C0C" w:rsidRDefault="00400DF1" w:rsidP="001F12CE">
      <w:pPr>
        <w:pStyle w:val="Heading1"/>
        <w:spacing w:line="240" w:lineRule="auto"/>
        <w:ind w:left="180" w:right="366" w:firstLine="180"/>
        <w:jc w:val="center"/>
      </w:pPr>
      <w:r>
        <w:t xml:space="preserve">for Recognition </w:t>
      </w:r>
      <w:r w:rsidR="001269E5">
        <w:t xml:space="preserve">of Special Achievement </w:t>
      </w:r>
      <w:r>
        <w:t>Award</w:t>
      </w:r>
    </w:p>
    <w:p w14:paraId="7EA508B7" w14:textId="255C1863" w:rsidR="00D55C0C" w:rsidRDefault="00CE79C7" w:rsidP="001F12CE">
      <w:pPr>
        <w:spacing w:after="0"/>
        <w:ind w:left="180" w:right="366" w:firstLine="180"/>
      </w:pPr>
      <w:r>
        <w:rPr>
          <w:b/>
          <w:sz w:val="24"/>
        </w:rPr>
        <w:t xml:space="preserve"> </w:t>
      </w:r>
    </w:p>
    <w:p w14:paraId="58F17248" w14:textId="25D00F80" w:rsidR="002D05A5" w:rsidRPr="00400DF1" w:rsidRDefault="00CE79C7" w:rsidP="001F12CE">
      <w:pPr>
        <w:pStyle w:val="paragraph"/>
        <w:spacing w:before="0" w:beforeAutospacing="0" w:after="0" w:afterAutospacing="0" w:line="276" w:lineRule="auto"/>
        <w:ind w:left="180" w:right="366" w:firstLine="180"/>
        <w:textAlignment w:val="baseline"/>
        <w:rPr>
          <w:rStyle w:val="normaltextrun"/>
          <w:rFonts w:asciiTheme="minorHAnsi" w:hAnsiTheme="minorHAnsi" w:cstheme="minorHAnsi"/>
          <w:sz w:val="22"/>
          <w:szCs w:val="22"/>
        </w:rPr>
      </w:pPr>
      <w:r w:rsidRPr="00400DF1">
        <w:rPr>
          <w:rFonts w:asciiTheme="minorHAnsi" w:hAnsiTheme="minorHAnsi" w:cstheme="minorHAnsi"/>
          <w:i/>
          <w:sz w:val="22"/>
          <w:szCs w:val="22"/>
        </w:rPr>
        <w:t>Austin, TX</w:t>
      </w:r>
      <w:r w:rsidRPr="00400DF1">
        <w:rPr>
          <w:rFonts w:asciiTheme="minorHAnsi" w:hAnsiTheme="minorHAnsi" w:cstheme="minorHAnsi"/>
          <w:sz w:val="22"/>
          <w:szCs w:val="22"/>
        </w:rPr>
        <w:t xml:space="preserve"> ― </w:t>
      </w:r>
      <w:r w:rsidR="0079697D" w:rsidRPr="00400DF1">
        <w:rPr>
          <w:rStyle w:val="normaltextrun"/>
          <w:rFonts w:asciiTheme="minorHAnsi" w:hAnsiTheme="minorHAnsi" w:cstheme="minorHAnsi"/>
          <w:sz w:val="22"/>
          <w:szCs w:val="22"/>
        </w:rPr>
        <w:t xml:space="preserve">The </w:t>
      </w:r>
      <w:r w:rsidR="002B788A" w:rsidRPr="00400DF1">
        <w:rPr>
          <w:rStyle w:val="normaltextrun"/>
          <w:rFonts w:asciiTheme="minorHAnsi" w:hAnsiTheme="minorHAnsi" w:cstheme="minorHAnsi"/>
          <w:sz w:val="22"/>
          <w:szCs w:val="22"/>
        </w:rPr>
        <w:t xml:space="preserve">National Academy of Construction </w:t>
      </w:r>
      <w:r w:rsidR="002B788A">
        <w:rPr>
          <w:rStyle w:val="normaltextrun"/>
          <w:rFonts w:asciiTheme="minorHAnsi" w:hAnsiTheme="minorHAnsi" w:cstheme="minorHAnsi"/>
          <w:sz w:val="22"/>
          <w:szCs w:val="22"/>
        </w:rPr>
        <w:t xml:space="preserve">has selected the </w:t>
      </w:r>
      <w:r w:rsidR="0079697D" w:rsidRPr="00400DF1">
        <w:rPr>
          <w:rStyle w:val="normaltextrun"/>
          <w:rFonts w:asciiTheme="minorHAnsi" w:hAnsiTheme="minorHAnsi" w:cstheme="minorHAnsi"/>
          <w:sz w:val="22"/>
          <w:szCs w:val="22"/>
        </w:rPr>
        <w:t>U.S. Army Corps of Engineers</w:t>
      </w:r>
      <w:r w:rsidR="007813E6">
        <w:rPr>
          <w:rStyle w:val="normaltextrun"/>
          <w:rFonts w:asciiTheme="minorHAnsi" w:hAnsiTheme="minorHAnsi" w:cstheme="minorHAnsi"/>
          <w:sz w:val="22"/>
          <w:szCs w:val="22"/>
        </w:rPr>
        <w:t xml:space="preserve"> (USACE)</w:t>
      </w:r>
      <w:r w:rsidR="0079697D" w:rsidRPr="00400DF1">
        <w:rPr>
          <w:rStyle w:val="normaltextrun"/>
          <w:rFonts w:asciiTheme="minorHAnsi" w:hAnsiTheme="minorHAnsi" w:cstheme="minorHAnsi"/>
          <w:sz w:val="22"/>
          <w:szCs w:val="22"/>
        </w:rPr>
        <w:t xml:space="preserve"> Sacramento District</w:t>
      </w:r>
      <w:r w:rsidR="0050316E">
        <w:rPr>
          <w:rStyle w:val="normaltextrun"/>
          <w:rFonts w:asciiTheme="minorHAnsi" w:hAnsiTheme="minorHAnsi" w:cstheme="minorHAnsi"/>
          <w:sz w:val="22"/>
          <w:szCs w:val="22"/>
        </w:rPr>
        <w:t xml:space="preserve">’s </w:t>
      </w:r>
      <w:r w:rsidR="0050316E" w:rsidRPr="00400DF1">
        <w:rPr>
          <w:rStyle w:val="normaltextrun"/>
          <w:rFonts w:asciiTheme="minorHAnsi" w:hAnsiTheme="minorHAnsi" w:cstheme="minorHAnsi"/>
          <w:sz w:val="22"/>
          <w:szCs w:val="22"/>
        </w:rPr>
        <w:t xml:space="preserve">Isabella Dam Safety Modification Project </w:t>
      </w:r>
      <w:r w:rsidR="0050316E">
        <w:rPr>
          <w:rStyle w:val="normaltextrun"/>
          <w:rFonts w:asciiTheme="minorHAnsi" w:hAnsiTheme="minorHAnsi" w:cstheme="minorHAnsi"/>
          <w:sz w:val="22"/>
          <w:szCs w:val="22"/>
        </w:rPr>
        <w:t>a</w:t>
      </w:r>
      <w:r w:rsidR="0079697D" w:rsidRPr="00400DF1">
        <w:rPr>
          <w:rStyle w:val="normaltextrun"/>
          <w:rFonts w:asciiTheme="minorHAnsi" w:hAnsiTheme="minorHAnsi" w:cstheme="minorHAnsi"/>
          <w:sz w:val="22"/>
          <w:szCs w:val="22"/>
        </w:rPr>
        <w:t xml:space="preserve">s the recipient of </w:t>
      </w:r>
      <w:r w:rsidR="0050316E">
        <w:rPr>
          <w:rStyle w:val="normaltextrun"/>
          <w:rFonts w:asciiTheme="minorHAnsi" w:hAnsiTheme="minorHAnsi" w:cstheme="minorHAnsi"/>
          <w:sz w:val="22"/>
          <w:szCs w:val="22"/>
        </w:rPr>
        <w:t>the Academy’s</w:t>
      </w:r>
      <w:r w:rsidR="0079697D" w:rsidRPr="00400DF1">
        <w:rPr>
          <w:rStyle w:val="normaltextrun"/>
          <w:rFonts w:asciiTheme="minorHAnsi" w:hAnsiTheme="minorHAnsi" w:cstheme="minorHAnsi"/>
          <w:sz w:val="22"/>
          <w:szCs w:val="22"/>
        </w:rPr>
        <w:t xml:space="preserve"> 2024 Recognition of Special Achievement Award.</w:t>
      </w:r>
    </w:p>
    <w:p w14:paraId="12A78931" w14:textId="392A9F40" w:rsidR="00881012" w:rsidRPr="00400DF1" w:rsidRDefault="00635894" w:rsidP="001F12CE">
      <w:pPr>
        <w:autoSpaceDE w:val="0"/>
        <w:autoSpaceDN w:val="0"/>
        <w:adjustRightInd w:val="0"/>
        <w:spacing w:after="0"/>
        <w:ind w:left="180" w:right="366" w:firstLine="180"/>
        <w:rPr>
          <w:rFonts w:asciiTheme="minorHAnsi" w:hAnsiTheme="minorHAnsi" w:cstheme="minorHAnsi"/>
        </w:rPr>
      </w:pPr>
      <w:r w:rsidRPr="00400DF1">
        <w:rPr>
          <w:rFonts w:asciiTheme="minorHAnsi" w:hAnsiTheme="minorHAnsi" w:cstheme="minorHAnsi"/>
        </w:rPr>
        <w:t xml:space="preserve">“The NAC is delighted to select the </w:t>
      </w:r>
      <w:r w:rsidRPr="00400DF1">
        <w:rPr>
          <w:rStyle w:val="normaltextrun"/>
          <w:rFonts w:asciiTheme="minorHAnsi" w:hAnsiTheme="minorHAnsi" w:cstheme="minorHAnsi"/>
        </w:rPr>
        <w:t>Isabella Dam Safety Modification Project</w:t>
      </w:r>
      <w:r w:rsidRPr="00400DF1" w:rsidDel="00C0566B">
        <w:rPr>
          <w:rFonts w:asciiTheme="minorHAnsi" w:hAnsiTheme="minorHAnsi" w:cstheme="minorHAnsi"/>
        </w:rPr>
        <w:t xml:space="preserve"> </w:t>
      </w:r>
      <w:r w:rsidRPr="00400DF1">
        <w:rPr>
          <w:rFonts w:asciiTheme="minorHAnsi" w:hAnsiTheme="minorHAnsi" w:cstheme="minorHAnsi"/>
        </w:rPr>
        <w:t>for our third annual Recognition of Special Achievement Award,” NAC President</w:t>
      </w:r>
      <w:r w:rsidR="004154C0">
        <w:rPr>
          <w:rFonts w:asciiTheme="minorHAnsi" w:hAnsiTheme="minorHAnsi" w:cstheme="minorHAnsi"/>
        </w:rPr>
        <w:t>/</w:t>
      </w:r>
      <w:r w:rsidRPr="00400DF1">
        <w:rPr>
          <w:rFonts w:asciiTheme="minorHAnsi" w:hAnsiTheme="minorHAnsi" w:cstheme="minorHAnsi"/>
        </w:rPr>
        <w:t>CEO Edd Gibson</w:t>
      </w:r>
      <w:r w:rsidR="004154C0">
        <w:rPr>
          <w:rFonts w:asciiTheme="minorHAnsi" w:hAnsiTheme="minorHAnsi" w:cstheme="minorHAnsi"/>
        </w:rPr>
        <w:t xml:space="preserve"> said</w:t>
      </w:r>
      <w:r w:rsidRPr="00400DF1">
        <w:rPr>
          <w:rFonts w:asciiTheme="minorHAnsi" w:hAnsiTheme="minorHAnsi" w:cstheme="minorHAnsi"/>
        </w:rPr>
        <w:t>. “This</w:t>
      </w:r>
      <w:r w:rsidRPr="00400DF1">
        <w:rPr>
          <w:rStyle w:val="normaltextrun"/>
          <w:rFonts w:asciiTheme="minorHAnsi" w:hAnsiTheme="minorHAnsi" w:cstheme="minorHAnsi"/>
        </w:rPr>
        <w:t xml:space="preserve"> award highlights and celebrates innovation, safety, and resourcefulness in planning and solving design challenges. The team for this project included international practitioners in the engineering, design, and construction industries, and the</w:t>
      </w:r>
      <w:r w:rsidRPr="00400DF1">
        <w:rPr>
          <w:rStyle w:val="eop"/>
          <w:rFonts w:asciiTheme="minorHAnsi" w:hAnsiTheme="minorHAnsi" w:cstheme="minorHAnsi"/>
        </w:rPr>
        <w:t xml:space="preserve"> effort led by Sacramento District’s project delivery team rose to </w:t>
      </w:r>
      <w:r w:rsidR="004154C0">
        <w:rPr>
          <w:rStyle w:val="eop"/>
          <w:rFonts w:asciiTheme="minorHAnsi" w:hAnsiTheme="minorHAnsi" w:cstheme="minorHAnsi"/>
        </w:rPr>
        <w:t xml:space="preserve">the </w:t>
      </w:r>
      <w:r w:rsidRPr="00400DF1">
        <w:rPr>
          <w:rStyle w:val="eop"/>
          <w:rFonts w:asciiTheme="minorHAnsi" w:hAnsiTheme="minorHAnsi" w:cstheme="minorHAnsi"/>
        </w:rPr>
        <w:t>top of this year’s nominees by excelling in all areas judged.”</w:t>
      </w:r>
    </w:p>
    <w:p w14:paraId="06BA42A1" w14:textId="4254322B" w:rsidR="00CB30CB" w:rsidRPr="00400DF1" w:rsidRDefault="00CB30CB" w:rsidP="001F12CE">
      <w:pPr>
        <w:ind w:left="180" w:right="366" w:firstLine="180"/>
        <w:rPr>
          <w:rFonts w:asciiTheme="minorHAnsi" w:hAnsiTheme="minorHAnsi" w:cstheme="minorHAnsi"/>
        </w:rPr>
      </w:pPr>
      <w:r w:rsidRPr="00400DF1">
        <w:rPr>
          <w:rFonts w:asciiTheme="minorHAnsi" w:hAnsiTheme="minorHAnsi" w:cstheme="minorHAnsi"/>
        </w:rPr>
        <w:t xml:space="preserve">Prior to the project, USACE dam safety experts considered Isabella Dam to be one of the highest-risk dams in the USACE portfolio for failure or overtopping. The $650 million modification project addressed several deficiencies by raising the main and auxiliary dams 16 feet and creating a new emergency spillway with an iconic labyrinth weir to greatly lower flood risk for more than 400,000 people downstream of Isabella Lake. </w:t>
      </w:r>
    </w:p>
    <w:p w14:paraId="04A9478A" w14:textId="5B87D71E" w:rsidR="00880457" w:rsidRPr="00400DF1" w:rsidRDefault="00880457" w:rsidP="00880457">
      <w:pPr>
        <w:autoSpaceDE w:val="0"/>
        <w:autoSpaceDN w:val="0"/>
        <w:adjustRightInd w:val="0"/>
        <w:ind w:left="180" w:right="366" w:firstLine="180"/>
        <w:rPr>
          <w:rFonts w:asciiTheme="minorHAnsi" w:hAnsiTheme="minorHAnsi" w:cstheme="minorHAnsi"/>
        </w:rPr>
      </w:pPr>
      <w:r w:rsidRPr="00400DF1">
        <w:rPr>
          <w:rFonts w:asciiTheme="minorHAnsi" w:hAnsiTheme="minorHAnsi" w:cstheme="minorHAnsi"/>
        </w:rPr>
        <w:t xml:space="preserve">“The impact of this remarkably complex megaproject cannot be overstated,” said </w:t>
      </w:r>
      <w:r w:rsidR="00095789" w:rsidRPr="00095789">
        <w:rPr>
          <w:rFonts w:asciiTheme="minorHAnsi" w:hAnsiTheme="minorHAnsi" w:cstheme="minorHAnsi"/>
        </w:rPr>
        <w:t xml:space="preserve">Chief of Engineers and USACE Commanding General </w:t>
      </w:r>
      <w:r w:rsidRPr="00400DF1">
        <w:rPr>
          <w:rFonts w:asciiTheme="minorHAnsi" w:hAnsiTheme="minorHAnsi" w:cstheme="minorHAnsi"/>
        </w:rPr>
        <w:t xml:space="preserve">Lt. Gen. Scott </w:t>
      </w:r>
      <w:proofErr w:type="spellStart"/>
      <w:r w:rsidRPr="00400DF1">
        <w:rPr>
          <w:rFonts w:asciiTheme="minorHAnsi" w:hAnsiTheme="minorHAnsi" w:cstheme="minorHAnsi"/>
        </w:rPr>
        <w:t>Spellmon</w:t>
      </w:r>
      <w:proofErr w:type="spellEnd"/>
      <w:r w:rsidRPr="00400DF1">
        <w:rPr>
          <w:rFonts w:asciiTheme="minorHAnsi" w:hAnsiTheme="minorHAnsi" w:cstheme="minorHAnsi"/>
        </w:rPr>
        <w:t>. “From conception through completion, the project delivery team displayed the USACE ethos, developing creative and innovative solutions to solve significant challenges without sacrificing project schedule, budget, and, most importantly, safety.”</w:t>
      </w:r>
    </w:p>
    <w:p w14:paraId="79353EE1" w14:textId="33158259" w:rsidR="00CB30CB" w:rsidRPr="00400DF1" w:rsidRDefault="00B4180A" w:rsidP="001F12CE">
      <w:pPr>
        <w:ind w:left="180" w:right="366" w:firstLine="180"/>
        <w:rPr>
          <w:rFonts w:asciiTheme="minorHAnsi" w:hAnsiTheme="minorHAnsi" w:cstheme="minorHAnsi"/>
        </w:rPr>
      </w:pPr>
      <w:r>
        <w:rPr>
          <w:rFonts w:asciiTheme="minorHAnsi" w:hAnsiTheme="minorHAnsi" w:cstheme="minorHAnsi"/>
          <w:noProof/>
        </w:rPr>
        <w:drawing>
          <wp:anchor distT="0" distB="0" distL="114300" distR="114300" simplePos="0" relativeHeight="251660800" behindDoc="0" locked="0" layoutInCell="1" allowOverlap="1" wp14:anchorId="4775D708" wp14:editId="30768B95">
            <wp:simplePos x="0" y="0"/>
            <wp:positionH relativeFrom="column">
              <wp:posOffset>2657475</wp:posOffset>
            </wp:positionH>
            <wp:positionV relativeFrom="paragraph">
              <wp:posOffset>66040</wp:posOffset>
            </wp:positionV>
            <wp:extent cx="3897630" cy="2922905"/>
            <wp:effectExtent l="0" t="0" r="1270" b="0"/>
            <wp:wrapSquare wrapText="bothSides"/>
            <wp:docPr id="1020708406" name="Picture 1" descr="Aerial view of a d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08406" name="Picture 1" descr="Aerial view of a d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7630" cy="2922905"/>
                    </a:xfrm>
                    <a:prstGeom prst="rect">
                      <a:avLst/>
                    </a:prstGeom>
                  </pic:spPr>
                </pic:pic>
              </a:graphicData>
            </a:graphic>
            <wp14:sizeRelH relativeFrom="page">
              <wp14:pctWidth>0</wp14:pctWidth>
            </wp14:sizeRelH>
            <wp14:sizeRelV relativeFrom="page">
              <wp14:pctHeight>0</wp14:pctHeight>
            </wp14:sizeRelV>
          </wp:anchor>
        </w:drawing>
      </w:r>
      <w:r w:rsidR="00CB30CB" w:rsidRPr="00400DF1">
        <w:rPr>
          <w:rFonts w:asciiTheme="minorHAnsi" w:hAnsiTheme="minorHAnsi" w:cstheme="minorHAnsi"/>
        </w:rPr>
        <w:t>The Sacramento District relied upon the USACE South Pacific Division’s Dam Safety Production Center for a creative weir design that could safely regulate water flow through the emergency spillway rather than just hold it back like a dam. The result was a three-story-tall, zig-zagging labyrinth concrete weir built in a roughly 1,300-foot opening. If straightened out, the weir would have an effective length of about 3,000 feet. The creative configuration significantly increases the amount of water that can be safely discharged from the relatively narrow space.</w:t>
      </w:r>
    </w:p>
    <w:p w14:paraId="06DE6443" w14:textId="77777777" w:rsidR="00880457" w:rsidRDefault="00880457" w:rsidP="001F12CE">
      <w:pPr>
        <w:autoSpaceDE w:val="0"/>
        <w:autoSpaceDN w:val="0"/>
        <w:adjustRightInd w:val="0"/>
        <w:ind w:left="180" w:right="366" w:firstLine="180"/>
        <w:rPr>
          <w:rFonts w:asciiTheme="minorHAnsi" w:hAnsiTheme="minorHAnsi" w:cstheme="minorHAnsi"/>
        </w:rPr>
      </w:pPr>
    </w:p>
    <w:p w14:paraId="00AE6A78" w14:textId="77777777" w:rsidR="00880457" w:rsidRDefault="00880457" w:rsidP="001F12CE">
      <w:pPr>
        <w:autoSpaceDE w:val="0"/>
        <w:autoSpaceDN w:val="0"/>
        <w:adjustRightInd w:val="0"/>
        <w:ind w:left="180" w:right="366" w:firstLine="180"/>
        <w:rPr>
          <w:rFonts w:asciiTheme="minorHAnsi" w:hAnsiTheme="minorHAnsi" w:cstheme="minorHAnsi"/>
        </w:rPr>
      </w:pPr>
    </w:p>
    <w:p w14:paraId="7905CD55" w14:textId="1CB902D5" w:rsidR="00CB30CB" w:rsidRPr="00400DF1" w:rsidRDefault="00CB30CB" w:rsidP="001F12CE">
      <w:pPr>
        <w:autoSpaceDE w:val="0"/>
        <w:autoSpaceDN w:val="0"/>
        <w:adjustRightInd w:val="0"/>
        <w:ind w:left="180" w:right="366" w:firstLine="180"/>
        <w:rPr>
          <w:rFonts w:asciiTheme="minorHAnsi" w:hAnsiTheme="minorHAnsi" w:cstheme="minorHAnsi"/>
        </w:rPr>
      </w:pPr>
      <w:r w:rsidRPr="00400DF1">
        <w:rPr>
          <w:rFonts w:asciiTheme="minorHAnsi" w:hAnsiTheme="minorHAnsi" w:cstheme="minorHAnsi"/>
        </w:rPr>
        <w:t>Before weir construction began, contractors had to safely blast out three million cubic yards of rock to create the space for the new emergency spillway. The resulting rock was then used as a source of materials for the dam raises.</w:t>
      </w:r>
      <w:r w:rsidR="001F7FFA">
        <w:rPr>
          <w:rFonts w:asciiTheme="minorHAnsi" w:hAnsiTheme="minorHAnsi" w:cstheme="minorHAnsi"/>
        </w:rPr>
        <w:t xml:space="preserve"> </w:t>
      </w:r>
      <w:r w:rsidRPr="00400DF1">
        <w:rPr>
          <w:rFonts w:asciiTheme="minorHAnsi" w:hAnsiTheme="minorHAnsi" w:cstheme="minorHAnsi"/>
        </w:rPr>
        <w:t>The spillway blasting was inherently dangerous and time-consuming</w:t>
      </w:r>
      <w:r w:rsidR="001F7FFA">
        <w:rPr>
          <w:rFonts w:asciiTheme="minorHAnsi" w:hAnsiTheme="minorHAnsi" w:cstheme="minorHAnsi"/>
        </w:rPr>
        <w:t>. P</w:t>
      </w:r>
      <w:r w:rsidRPr="00400DF1">
        <w:rPr>
          <w:rFonts w:asciiTheme="minorHAnsi" w:hAnsiTheme="minorHAnsi" w:cstheme="minorHAnsi"/>
        </w:rPr>
        <w:t>lanners recognized</w:t>
      </w:r>
      <w:r w:rsidR="001F7FFA">
        <w:rPr>
          <w:rFonts w:asciiTheme="minorHAnsi" w:hAnsiTheme="minorHAnsi" w:cstheme="minorHAnsi"/>
        </w:rPr>
        <w:t>, however,</w:t>
      </w:r>
      <w:r w:rsidRPr="00400DF1">
        <w:rPr>
          <w:rFonts w:asciiTheme="minorHAnsi" w:hAnsiTheme="minorHAnsi" w:cstheme="minorHAnsi"/>
        </w:rPr>
        <w:t xml:space="preserve"> that it offered several benefits that could help solve logistical, cost, and environmental challenges. Their solution was an onsite aggregate plant that crushed the stone into different gradations for use in the main and auxiliary dam raisings</w:t>
      </w:r>
      <w:r w:rsidR="00E11CA1">
        <w:rPr>
          <w:rFonts w:asciiTheme="minorHAnsi" w:hAnsiTheme="minorHAnsi" w:cstheme="minorHAnsi"/>
        </w:rPr>
        <w:t>. This</w:t>
      </w:r>
      <w:r w:rsidRPr="00400DF1">
        <w:rPr>
          <w:rFonts w:asciiTheme="minorHAnsi" w:hAnsiTheme="minorHAnsi" w:cstheme="minorHAnsi"/>
        </w:rPr>
        <w:t xml:space="preserve"> saved time</w:t>
      </w:r>
      <w:r w:rsidR="00E11CA1">
        <w:rPr>
          <w:rFonts w:asciiTheme="minorHAnsi" w:hAnsiTheme="minorHAnsi" w:cstheme="minorHAnsi"/>
        </w:rPr>
        <w:t xml:space="preserve"> and</w:t>
      </w:r>
      <w:r w:rsidRPr="00400DF1">
        <w:rPr>
          <w:rFonts w:asciiTheme="minorHAnsi" w:hAnsiTheme="minorHAnsi" w:cstheme="minorHAnsi"/>
        </w:rPr>
        <w:t xml:space="preserve"> money and reduced the project’s carbon footprint</w:t>
      </w:r>
      <w:r w:rsidR="00E11CA1">
        <w:rPr>
          <w:rFonts w:asciiTheme="minorHAnsi" w:hAnsiTheme="minorHAnsi" w:cstheme="minorHAnsi"/>
        </w:rPr>
        <w:t xml:space="preserve"> as well</w:t>
      </w:r>
      <w:r w:rsidRPr="00400DF1">
        <w:rPr>
          <w:rFonts w:asciiTheme="minorHAnsi" w:hAnsiTheme="minorHAnsi" w:cstheme="minorHAnsi"/>
        </w:rPr>
        <w:t>.</w:t>
      </w:r>
    </w:p>
    <w:p w14:paraId="4688DB23" w14:textId="05BD2769" w:rsidR="00CB30CB" w:rsidRPr="00400DF1" w:rsidRDefault="00CB30CB" w:rsidP="007813E6">
      <w:pPr>
        <w:autoSpaceDE w:val="0"/>
        <w:autoSpaceDN w:val="0"/>
        <w:adjustRightInd w:val="0"/>
        <w:ind w:left="180" w:right="366" w:firstLine="180"/>
        <w:rPr>
          <w:rFonts w:asciiTheme="minorHAnsi" w:hAnsiTheme="minorHAnsi" w:cstheme="minorHAnsi"/>
        </w:rPr>
      </w:pPr>
      <w:r w:rsidRPr="00400DF1">
        <w:rPr>
          <w:rFonts w:asciiTheme="minorHAnsi" w:hAnsiTheme="minorHAnsi" w:cstheme="minorHAnsi"/>
        </w:rPr>
        <w:t>Upon substantial project completion in 2022, the project team had logged over 2.6 million exposure hours with no significant accidents or injuries—an achievement that speaks to a sustained culture of safety. The worldwide COVID-19 pandemic and destructive</w:t>
      </w:r>
      <w:r w:rsidR="008E6A38">
        <w:rPr>
          <w:rFonts w:asciiTheme="minorHAnsi" w:hAnsiTheme="minorHAnsi" w:cstheme="minorHAnsi"/>
        </w:rPr>
        <w:t>,</w:t>
      </w:r>
      <w:r w:rsidRPr="00400DF1">
        <w:rPr>
          <w:rFonts w:asciiTheme="minorHAnsi" w:hAnsiTheme="minorHAnsi" w:cstheme="minorHAnsi"/>
        </w:rPr>
        <w:t xml:space="preserve"> drought-induced wildfires </w:t>
      </w:r>
      <w:r w:rsidR="00E11CA1">
        <w:rPr>
          <w:rFonts w:asciiTheme="minorHAnsi" w:hAnsiTheme="minorHAnsi" w:cstheme="minorHAnsi"/>
        </w:rPr>
        <w:t xml:space="preserve">in California </w:t>
      </w:r>
      <w:r w:rsidRPr="00400DF1">
        <w:rPr>
          <w:rFonts w:asciiTheme="minorHAnsi" w:hAnsiTheme="minorHAnsi" w:cstheme="minorHAnsi"/>
        </w:rPr>
        <w:t xml:space="preserve">presented additional hurdles to overcome yet neither prevented the team from meeting its objectives.   </w:t>
      </w:r>
    </w:p>
    <w:p w14:paraId="5BBB1857" w14:textId="6C5FCB9A" w:rsidR="00CB30CB" w:rsidRPr="00400DF1" w:rsidRDefault="00CB30CB" w:rsidP="001F12CE">
      <w:pPr>
        <w:ind w:left="180" w:right="366" w:firstLine="180"/>
        <w:rPr>
          <w:rFonts w:asciiTheme="minorHAnsi" w:hAnsiTheme="minorHAnsi" w:cstheme="minorHAnsi"/>
        </w:rPr>
      </w:pPr>
      <w:r w:rsidRPr="00400DF1">
        <w:rPr>
          <w:rFonts w:asciiTheme="minorHAnsi" w:hAnsiTheme="minorHAnsi" w:cstheme="minorHAnsi"/>
        </w:rPr>
        <w:t xml:space="preserve">The project was overseen by the </w:t>
      </w:r>
      <w:r w:rsidR="00E65A9D">
        <w:rPr>
          <w:rFonts w:asciiTheme="minorHAnsi" w:hAnsiTheme="minorHAnsi" w:cstheme="minorHAnsi"/>
        </w:rPr>
        <w:t xml:space="preserve">USACE </w:t>
      </w:r>
      <w:r w:rsidRPr="00400DF1">
        <w:rPr>
          <w:rFonts w:asciiTheme="minorHAnsi" w:hAnsiTheme="minorHAnsi" w:cstheme="minorHAnsi"/>
        </w:rPr>
        <w:t>Sacramento District and its construction management consultant for the project</w:t>
      </w:r>
      <w:r w:rsidR="00E65A9D">
        <w:rPr>
          <w:rFonts w:asciiTheme="minorHAnsi" w:hAnsiTheme="minorHAnsi" w:cstheme="minorHAnsi"/>
        </w:rPr>
        <w:t>,</w:t>
      </w:r>
      <w:r w:rsidRPr="00400DF1">
        <w:rPr>
          <w:rFonts w:asciiTheme="minorHAnsi" w:hAnsiTheme="minorHAnsi" w:cstheme="minorHAnsi"/>
        </w:rPr>
        <w:t xml:space="preserve"> HDR, Inc. The joint venture construction team consisted of Dragados USA, Flatiron Construction Corp., and Sukut Construction.</w:t>
      </w:r>
    </w:p>
    <w:p w14:paraId="33A1B61F" w14:textId="3EFD2E0B" w:rsidR="00CB30CB" w:rsidRPr="00400DF1" w:rsidRDefault="00CB30CB" w:rsidP="001F12CE">
      <w:pPr>
        <w:autoSpaceDE w:val="0"/>
        <w:autoSpaceDN w:val="0"/>
        <w:adjustRightInd w:val="0"/>
        <w:ind w:left="180" w:right="366" w:firstLine="180"/>
        <w:rPr>
          <w:rFonts w:asciiTheme="minorHAnsi" w:hAnsiTheme="minorHAnsi" w:cstheme="minorHAnsi"/>
        </w:rPr>
      </w:pPr>
      <w:r w:rsidRPr="00400DF1">
        <w:rPr>
          <w:rFonts w:asciiTheme="minorHAnsi" w:hAnsiTheme="minorHAnsi" w:cstheme="minorHAnsi"/>
        </w:rPr>
        <w:t xml:space="preserve">The NAC will present </w:t>
      </w:r>
      <w:r w:rsidR="001F12CE">
        <w:rPr>
          <w:rFonts w:asciiTheme="minorHAnsi" w:hAnsiTheme="minorHAnsi" w:cstheme="minorHAnsi"/>
        </w:rPr>
        <w:t>its Recognition of Special Achievement A</w:t>
      </w:r>
      <w:r w:rsidRPr="00400DF1">
        <w:rPr>
          <w:rFonts w:asciiTheme="minorHAnsi" w:hAnsiTheme="minorHAnsi" w:cstheme="minorHAnsi"/>
        </w:rPr>
        <w:t>ward to USACE at the Academy’s Annual Meeting in October in San Antonio, Texas.</w:t>
      </w:r>
    </w:p>
    <w:p w14:paraId="34798882" w14:textId="1ACAE3C5" w:rsidR="00881012" w:rsidRDefault="00881012" w:rsidP="001F12CE">
      <w:pPr>
        <w:ind w:left="180" w:right="366" w:firstLine="180"/>
        <w:rPr>
          <w:b/>
          <w:bCs/>
          <w:color w:val="222222"/>
          <w:shd w:val="clear" w:color="auto" w:fill="FFFFFF"/>
        </w:rPr>
      </w:pPr>
    </w:p>
    <w:p w14:paraId="1EBE53D3" w14:textId="377E281B" w:rsidR="00A55FD2" w:rsidRDefault="006373C6" w:rsidP="001F12CE">
      <w:pPr>
        <w:ind w:left="180" w:right="366" w:firstLine="180"/>
        <w:jc w:val="center"/>
      </w:pPr>
      <w:r>
        <w:t xml:space="preserve">                      </w:t>
      </w:r>
    </w:p>
    <w:p w14:paraId="72AAA0DB" w14:textId="305AEA92" w:rsidR="00D43FE5" w:rsidRPr="00A079C3" w:rsidRDefault="00D64AC9" w:rsidP="00CD11AC">
      <w:pPr>
        <w:ind w:left="720" w:right="816" w:firstLine="0"/>
        <w:rPr>
          <w:bCs/>
          <w:i/>
          <w:sz w:val="18"/>
          <w:szCs w:val="20"/>
        </w:rPr>
      </w:pPr>
      <w:r w:rsidRPr="00A079C3">
        <w:rPr>
          <w:bCs/>
          <w:i/>
          <w:sz w:val="18"/>
          <w:szCs w:val="20"/>
        </w:rPr>
        <w:t>The National Academy of Construction, established in 1999, is an organization of industry leaders―construction users, constructors, engineers, architects, consultants, attorneys, sureties, editors, and academics―who have made outstanding, life-long contributions to the construction industry. In addition to honoring the personal contributions of its members, the Academy provides its leadership and expertise to a variety of organizations, governmental and nongovernmental, for the betterment of the industry and nation, fostering collaboration, future improvement</w:t>
      </w:r>
      <w:r w:rsidR="00B0408B" w:rsidRPr="00A079C3">
        <w:rPr>
          <w:bCs/>
          <w:i/>
          <w:sz w:val="18"/>
          <w:szCs w:val="20"/>
        </w:rPr>
        <w:t>,</w:t>
      </w:r>
      <w:r w:rsidRPr="00A079C3">
        <w:rPr>
          <w:bCs/>
          <w:i/>
          <w:sz w:val="18"/>
          <w:szCs w:val="20"/>
        </w:rPr>
        <w:t xml:space="preserve"> and building the next generation of leaders. </w:t>
      </w:r>
      <w:r w:rsidR="0008746B" w:rsidRPr="00A079C3">
        <w:rPr>
          <w:bCs/>
          <w:i/>
          <w:sz w:val="18"/>
          <w:szCs w:val="20"/>
        </w:rPr>
        <w:t>For more information</w:t>
      </w:r>
      <w:r w:rsidR="00746BD9" w:rsidRPr="00A079C3">
        <w:rPr>
          <w:bCs/>
          <w:i/>
          <w:sz w:val="18"/>
          <w:szCs w:val="20"/>
        </w:rPr>
        <w:t xml:space="preserve"> on this release</w:t>
      </w:r>
      <w:r w:rsidR="0008746B" w:rsidRPr="00A079C3">
        <w:rPr>
          <w:bCs/>
          <w:i/>
          <w:sz w:val="18"/>
          <w:szCs w:val="20"/>
        </w:rPr>
        <w:t xml:space="preserve">, contact Rusty Haggard, </w:t>
      </w:r>
      <w:r w:rsidR="0008746B" w:rsidRPr="00A079C3">
        <w:rPr>
          <w:bCs/>
          <w:i/>
          <w:color w:val="0563C1"/>
          <w:sz w:val="18"/>
          <w:szCs w:val="20"/>
          <w:u w:val="single" w:color="0563C1"/>
        </w:rPr>
        <w:t>rhaggard99@gmail.com</w:t>
      </w:r>
      <w:r w:rsidR="00A92983" w:rsidRPr="00A079C3">
        <w:rPr>
          <w:bCs/>
          <w:i/>
          <w:sz w:val="18"/>
          <w:szCs w:val="20"/>
        </w:rPr>
        <w:t>.</w:t>
      </w:r>
    </w:p>
    <w:sectPr w:rsidR="00D43FE5" w:rsidRPr="00A079C3">
      <w:footerReference w:type="default" r:id="rId9"/>
      <w:pgSz w:w="12240" w:h="15840"/>
      <w:pgMar w:top="1440" w:right="705" w:bottom="1440" w:left="72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BCD8C" w14:textId="77777777" w:rsidR="00553FCE" w:rsidRDefault="00553FCE" w:rsidP="00B4714C">
      <w:pPr>
        <w:spacing w:after="0" w:line="240" w:lineRule="auto"/>
      </w:pPr>
      <w:r>
        <w:separator/>
      </w:r>
    </w:p>
  </w:endnote>
  <w:endnote w:type="continuationSeparator" w:id="0">
    <w:p w14:paraId="362ABCCB" w14:textId="77777777" w:rsidR="00553FCE" w:rsidRDefault="00553FCE" w:rsidP="00B4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67836"/>
      <w:docPartObj>
        <w:docPartGallery w:val="Page Numbers (Bottom of Page)"/>
        <w:docPartUnique/>
      </w:docPartObj>
    </w:sdtPr>
    <w:sdtEndPr>
      <w:rPr>
        <w:noProof/>
      </w:rPr>
    </w:sdtEndPr>
    <w:sdtContent>
      <w:p w14:paraId="3A25EDCE" w14:textId="70F4E89B" w:rsidR="00C14788" w:rsidRDefault="00C14788">
        <w:pPr>
          <w:pStyle w:val="Footer"/>
        </w:pPr>
        <w:r>
          <w:fldChar w:fldCharType="begin"/>
        </w:r>
        <w:r>
          <w:instrText xml:space="preserve"> PAGE   \* MERGEFORMAT </w:instrText>
        </w:r>
        <w:r>
          <w:fldChar w:fldCharType="separate"/>
        </w:r>
        <w:r>
          <w:rPr>
            <w:noProof/>
          </w:rPr>
          <w:t>2</w:t>
        </w:r>
        <w:r>
          <w:rPr>
            <w:noProof/>
          </w:rPr>
          <w:fldChar w:fldCharType="end"/>
        </w:r>
      </w:p>
    </w:sdtContent>
  </w:sdt>
  <w:p w14:paraId="4B608A50" w14:textId="77777777" w:rsidR="00FF32A5" w:rsidRDefault="00FF3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E2EFC" w14:textId="77777777" w:rsidR="00553FCE" w:rsidRDefault="00553FCE" w:rsidP="00B4714C">
      <w:pPr>
        <w:spacing w:after="0" w:line="240" w:lineRule="auto"/>
      </w:pPr>
      <w:r>
        <w:separator/>
      </w:r>
    </w:p>
  </w:footnote>
  <w:footnote w:type="continuationSeparator" w:id="0">
    <w:p w14:paraId="1AC3A61F" w14:textId="77777777" w:rsidR="00553FCE" w:rsidRDefault="00553FCE" w:rsidP="00B471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C0C"/>
    <w:rsid w:val="000026FD"/>
    <w:rsid w:val="00010DC0"/>
    <w:rsid w:val="00017555"/>
    <w:rsid w:val="00025181"/>
    <w:rsid w:val="0002786B"/>
    <w:rsid w:val="00030343"/>
    <w:rsid w:val="0003363B"/>
    <w:rsid w:val="00037201"/>
    <w:rsid w:val="0004627C"/>
    <w:rsid w:val="000612DF"/>
    <w:rsid w:val="00070F5A"/>
    <w:rsid w:val="00075BD9"/>
    <w:rsid w:val="00075DEA"/>
    <w:rsid w:val="000829B6"/>
    <w:rsid w:val="00085104"/>
    <w:rsid w:val="0008746B"/>
    <w:rsid w:val="00095789"/>
    <w:rsid w:val="000A7737"/>
    <w:rsid w:val="000A7F87"/>
    <w:rsid w:val="000C0FA2"/>
    <w:rsid w:val="000C2F3C"/>
    <w:rsid w:val="000C7C3D"/>
    <w:rsid w:val="000D57F3"/>
    <w:rsid w:val="000E0CFE"/>
    <w:rsid w:val="000E4B93"/>
    <w:rsid w:val="000E7189"/>
    <w:rsid w:val="00100DB2"/>
    <w:rsid w:val="00103DE9"/>
    <w:rsid w:val="00110947"/>
    <w:rsid w:val="0011494F"/>
    <w:rsid w:val="001269E5"/>
    <w:rsid w:val="00126B73"/>
    <w:rsid w:val="00127EBE"/>
    <w:rsid w:val="00136708"/>
    <w:rsid w:val="00141105"/>
    <w:rsid w:val="00151F6C"/>
    <w:rsid w:val="00154339"/>
    <w:rsid w:val="00154AE3"/>
    <w:rsid w:val="00160435"/>
    <w:rsid w:val="00160790"/>
    <w:rsid w:val="001607AD"/>
    <w:rsid w:val="001646C3"/>
    <w:rsid w:val="0016789F"/>
    <w:rsid w:val="00174CEB"/>
    <w:rsid w:val="00176448"/>
    <w:rsid w:val="001962E0"/>
    <w:rsid w:val="001A2480"/>
    <w:rsid w:val="001A43F4"/>
    <w:rsid w:val="001B756E"/>
    <w:rsid w:val="001C25ED"/>
    <w:rsid w:val="001C3B93"/>
    <w:rsid w:val="001D028C"/>
    <w:rsid w:val="001D1042"/>
    <w:rsid w:val="001E04E9"/>
    <w:rsid w:val="001E06A2"/>
    <w:rsid w:val="001E5B0C"/>
    <w:rsid w:val="001E6450"/>
    <w:rsid w:val="001F12CE"/>
    <w:rsid w:val="001F3ACB"/>
    <w:rsid w:val="001F4B73"/>
    <w:rsid w:val="001F4E55"/>
    <w:rsid w:val="001F7FFA"/>
    <w:rsid w:val="00220554"/>
    <w:rsid w:val="002209DB"/>
    <w:rsid w:val="00227E56"/>
    <w:rsid w:val="00236DB2"/>
    <w:rsid w:val="00240CA8"/>
    <w:rsid w:val="002448D0"/>
    <w:rsid w:val="00247DE9"/>
    <w:rsid w:val="0025251C"/>
    <w:rsid w:val="00254021"/>
    <w:rsid w:val="00255E09"/>
    <w:rsid w:val="00266715"/>
    <w:rsid w:val="00267F1D"/>
    <w:rsid w:val="00273AC2"/>
    <w:rsid w:val="00277480"/>
    <w:rsid w:val="00292C52"/>
    <w:rsid w:val="002944ED"/>
    <w:rsid w:val="00295D31"/>
    <w:rsid w:val="002A1B15"/>
    <w:rsid w:val="002A6236"/>
    <w:rsid w:val="002A67AD"/>
    <w:rsid w:val="002B6E57"/>
    <w:rsid w:val="002B788A"/>
    <w:rsid w:val="002B7D49"/>
    <w:rsid w:val="002C4E56"/>
    <w:rsid w:val="002C6A87"/>
    <w:rsid w:val="002D05A5"/>
    <w:rsid w:val="002D1CF0"/>
    <w:rsid w:val="002D419B"/>
    <w:rsid w:val="002D43F8"/>
    <w:rsid w:val="002F02FA"/>
    <w:rsid w:val="002F05F8"/>
    <w:rsid w:val="002F6B94"/>
    <w:rsid w:val="00303343"/>
    <w:rsid w:val="00306473"/>
    <w:rsid w:val="00325C5A"/>
    <w:rsid w:val="00330D54"/>
    <w:rsid w:val="00331FD7"/>
    <w:rsid w:val="00355DF4"/>
    <w:rsid w:val="00356A04"/>
    <w:rsid w:val="00356DAA"/>
    <w:rsid w:val="003570DC"/>
    <w:rsid w:val="00361AAC"/>
    <w:rsid w:val="0036460D"/>
    <w:rsid w:val="00365F3F"/>
    <w:rsid w:val="00372F5C"/>
    <w:rsid w:val="00381C0E"/>
    <w:rsid w:val="00383A04"/>
    <w:rsid w:val="00385B66"/>
    <w:rsid w:val="003A273E"/>
    <w:rsid w:val="003A5E3E"/>
    <w:rsid w:val="003B6260"/>
    <w:rsid w:val="003C0DFB"/>
    <w:rsid w:val="003C217A"/>
    <w:rsid w:val="003F39A6"/>
    <w:rsid w:val="003F3D26"/>
    <w:rsid w:val="003F4484"/>
    <w:rsid w:val="00400DF1"/>
    <w:rsid w:val="00406A3D"/>
    <w:rsid w:val="00410175"/>
    <w:rsid w:val="00412FE1"/>
    <w:rsid w:val="004133FA"/>
    <w:rsid w:val="004154C0"/>
    <w:rsid w:val="00415559"/>
    <w:rsid w:val="0042293C"/>
    <w:rsid w:val="00423A82"/>
    <w:rsid w:val="00435625"/>
    <w:rsid w:val="0044102C"/>
    <w:rsid w:val="00444D70"/>
    <w:rsid w:val="00460598"/>
    <w:rsid w:val="00460A07"/>
    <w:rsid w:val="0047064C"/>
    <w:rsid w:val="0048430B"/>
    <w:rsid w:val="004843F6"/>
    <w:rsid w:val="00485DE7"/>
    <w:rsid w:val="004A4CBD"/>
    <w:rsid w:val="004A6051"/>
    <w:rsid w:val="004B42B7"/>
    <w:rsid w:val="004B45F9"/>
    <w:rsid w:val="004C4AB9"/>
    <w:rsid w:val="004F6FB6"/>
    <w:rsid w:val="0050316E"/>
    <w:rsid w:val="00504C1B"/>
    <w:rsid w:val="0051282F"/>
    <w:rsid w:val="00512DF7"/>
    <w:rsid w:val="00523A31"/>
    <w:rsid w:val="00527FFC"/>
    <w:rsid w:val="005312B8"/>
    <w:rsid w:val="0053189B"/>
    <w:rsid w:val="0053345D"/>
    <w:rsid w:val="00533E6A"/>
    <w:rsid w:val="00534B25"/>
    <w:rsid w:val="0054410C"/>
    <w:rsid w:val="00553FCE"/>
    <w:rsid w:val="0055510F"/>
    <w:rsid w:val="005639EF"/>
    <w:rsid w:val="00564EC1"/>
    <w:rsid w:val="00565C03"/>
    <w:rsid w:val="00572DE3"/>
    <w:rsid w:val="005805E2"/>
    <w:rsid w:val="00582C03"/>
    <w:rsid w:val="0059013D"/>
    <w:rsid w:val="00596AF7"/>
    <w:rsid w:val="005C697F"/>
    <w:rsid w:val="005D0FDE"/>
    <w:rsid w:val="005E04E7"/>
    <w:rsid w:val="005E6801"/>
    <w:rsid w:val="005F170A"/>
    <w:rsid w:val="005F4FF8"/>
    <w:rsid w:val="00605F24"/>
    <w:rsid w:val="0060771C"/>
    <w:rsid w:val="006123C4"/>
    <w:rsid w:val="006160C2"/>
    <w:rsid w:val="006248B9"/>
    <w:rsid w:val="00625624"/>
    <w:rsid w:val="00635894"/>
    <w:rsid w:val="006373C6"/>
    <w:rsid w:val="00641B3A"/>
    <w:rsid w:val="00651E6B"/>
    <w:rsid w:val="00652260"/>
    <w:rsid w:val="00654689"/>
    <w:rsid w:val="00655600"/>
    <w:rsid w:val="0065776C"/>
    <w:rsid w:val="00673DD4"/>
    <w:rsid w:val="006758D5"/>
    <w:rsid w:val="0068045B"/>
    <w:rsid w:val="00680DD9"/>
    <w:rsid w:val="00692BB7"/>
    <w:rsid w:val="006967C6"/>
    <w:rsid w:val="00697676"/>
    <w:rsid w:val="006A4A68"/>
    <w:rsid w:val="006B593E"/>
    <w:rsid w:val="006D173F"/>
    <w:rsid w:val="006D1B85"/>
    <w:rsid w:val="006D2372"/>
    <w:rsid w:val="006D3DC1"/>
    <w:rsid w:val="006D5637"/>
    <w:rsid w:val="006E06F3"/>
    <w:rsid w:val="006E1636"/>
    <w:rsid w:val="006E2354"/>
    <w:rsid w:val="006E3BD2"/>
    <w:rsid w:val="006E727C"/>
    <w:rsid w:val="006F3B0F"/>
    <w:rsid w:val="006F54D3"/>
    <w:rsid w:val="006F636B"/>
    <w:rsid w:val="0070682A"/>
    <w:rsid w:val="00725166"/>
    <w:rsid w:val="00731250"/>
    <w:rsid w:val="00734CDA"/>
    <w:rsid w:val="00743243"/>
    <w:rsid w:val="00746BD9"/>
    <w:rsid w:val="0075330E"/>
    <w:rsid w:val="00763A28"/>
    <w:rsid w:val="00771774"/>
    <w:rsid w:val="007743CB"/>
    <w:rsid w:val="007813E6"/>
    <w:rsid w:val="00791BBC"/>
    <w:rsid w:val="00795FEE"/>
    <w:rsid w:val="0079697D"/>
    <w:rsid w:val="007A3352"/>
    <w:rsid w:val="007A3433"/>
    <w:rsid w:val="007A5FFC"/>
    <w:rsid w:val="007A789C"/>
    <w:rsid w:val="007B0858"/>
    <w:rsid w:val="007B3238"/>
    <w:rsid w:val="007B3C1D"/>
    <w:rsid w:val="007C3373"/>
    <w:rsid w:val="007D04C0"/>
    <w:rsid w:val="007D1558"/>
    <w:rsid w:val="007D40B3"/>
    <w:rsid w:val="007D4A92"/>
    <w:rsid w:val="007E1D65"/>
    <w:rsid w:val="007F0BFB"/>
    <w:rsid w:val="007F3FE1"/>
    <w:rsid w:val="007F43C2"/>
    <w:rsid w:val="007F7110"/>
    <w:rsid w:val="00807E5F"/>
    <w:rsid w:val="0082329E"/>
    <w:rsid w:val="00834AEB"/>
    <w:rsid w:val="008368FB"/>
    <w:rsid w:val="008509A6"/>
    <w:rsid w:val="008510ED"/>
    <w:rsid w:val="00863EC3"/>
    <w:rsid w:val="0086643C"/>
    <w:rsid w:val="00866806"/>
    <w:rsid w:val="008679F7"/>
    <w:rsid w:val="00870BFB"/>
    <w:rsid w:val="00874667"/>
    <w:rsid w:val="0087539D"/>
    <w:rsid w:val="00875502"/>
    <w:rsid w:val="00880457"/>
    <w:rsid w:val="00881012"/>
    <w:rsid w:val="00884423"/>
    <w:rsid w:val="00886896"/>
    <w:rsid w:val="00897711"/>
    <w:rsid w:val="008A774C"/>
    <w:rsid w:val="008B17E8"/>
    <w:rsid w:val="008B63EE"/>
    <w:rsid w:val="008B7F3F"/>
    <w:rsid w:val="008C04AC"/>
    <w:rsid w:val="008C225A"/>
    <w:rsid w:val="008C76A9"/>
    <w:rsid w:val="008D46EC"/>
    <w:rsid w:val="008D55F8"/>
    <w:rsid w:val="008E0445"/>
    <w:rsid w:val="008E2530"/>
    <w:rsid w:val="008E28A6"/>
    <w:rsid w:val="008E6A38"/>
    <w:rsid w:val="008F231A"/>
    <w:rsid w:val="008F4D8D"/>
    <w:rsid w:val="00902C64"/>
    <w:rsid w:val="0090607F"/>
    <w:rsid w:val="009246E5"/>
    <w:rsid w:val="00927CAC"/>
    <w:rsid w:val="00931F2C"/>
    <w:rsid w:val="009428EA"/>
    <w:rsid w:val="00960A95"/>
    <w:rsid w:val="0096138A"/>
    <w:rsid w:val="00962DD4"/>
    <w:rsid w:val="00964BCD"/>
    <w:rsid w:val="00966ED0"/>
    <w:rsid w:val="009760CF"/>
    <w:rsid w:val="00977E5E"/>
    <w:rsid w:val="00983321"/>
    <w:rsid w:val="00993979"/>
    <w:rsid w:val="00995545"/>
    <w:rsid w:val="009A3C86"/>
    <w:rsid w:val="009A5664"/>
    <w:rsid w:val="009A5B49"/>
    <w:rsid w:val="009A6F86"/>
    <w:rsid w:val="009B7B4D"/>
    <w:rsid w:val="009C5E65"/>
    <w:rsid w:val="009D1710"/>
    <w:rsid w:val="009D1ECC"/>
    <w:rsid w:val="009D1F34"/>
    <w:rsid w:val="009D3FAE"/>
    <w:rsid w:val="009E5D45"/>
    <w:rsid w:val="009E75A6"/>
    <w:rsid w:val="009F1C53"/>
    <w:rsid w:val="009F21CC"/>
    <w:rsid w:val="00A058BD"/>
    <w:rsid w:val="00A0751C"/>
    <w:rsid w:val="00A079C3"/>
    <w:rsid w:val="00A23751"/>
    <w:rsid w:val="00A30539"/>
    <w:rsid w:val="00A40767"/>
    <w:rsid w:val="00A47387"/>
    <w:rsid w:val="00A5195A"/>
    <w:rsid w:val="00A5590A"/>
    <w:rsid w:val="00A55FD2"/>
    <w:rsid w:val="00A57251"/>
    <w:rsid w:val="00A636E8"/>
    <w:rsid w:val="00A67262"/>
    <w:rsid w:val="00A72C99"/>
    <w:rsid w:val="00A81189"/>
    <w:rsid w:val="00A813A1"/>
    <w:rsid w:val="00A82978"/>
    <w:rsid w:val="00A83723"/>
    <w:rsid w:val="00A91741"/>
    <w:rsid w:val="00A92983"/>
    <w:rsid w:val="00A93E4C"/>
    <w:rsid w:val="00AA2AF5"/>
    <w:rsid w:val="00AA4778"/>
    <w:rsid w:val="00AA56F5"/>
    <w:rsid w:val="00AD1AD5"/>
    <w:rsid w:val="00AD658C"/>
    <w:rsid w:val="00AE1943"/>
    <w:rsid w:val="00AE47F3"/>
    <w:rsid w:val="00AF4A83"/>
    <w:rsid w:val="00AF696C"/>
    <w:rsid w:val="00AF786C"/>
    <w:rsid w:val="00B0408B"/>
    <w:rsid w:val="00B116DE"/>
    <w:rsid w:val="00B13072"/>
    <w:rsid w:val="00B14478"/>
    <w:rsid w:val="00B209E8"/>
    <w:rsid w:val="00B21CAB"/>
    <w:rsid w:val="00B2349F"/>
    <w:rsid w:val="00B36B82"/>
    <w:rsid w:val="00B37107"/>
    <w:rsid w:val="00B4180A"/>
    <w:rsid w:val="00B4524C"/>
    <w:rsid w:val="00B460C6"/>
    <w:rsid w:val="00B4714C"/>
    <w:rsid w:val="00B53869"/>
    <w:rsid w:val="00B539EB"/>
    <w:rsid w:val="00B54AA2"/>
    <w:rsid w:val="00B61D0D"/>
    <w:rsid w:val="00B81F7A"/>
    <w:rsid w:val="00B9555B"/>
    <w:rsid w:val="00B97252"/>
    <w:rsid w:val="00B975B4"/>
    <w:rsid w:val="00BA7EF3"/>
    <w:rsid w:val="00BB12A9"/>
    <w:rsid w:val="00BB464C"/>
    <w:rsid w:val="00BB4C3C"/>
    <w:rsid w:val="00BB6823"/>
    <w:rsid w:val="00BD3F48"/>
    <w:rsid w:val="00BD5871"/>
    <w:rsid w:val="00BD77B9"/>
    <w:rsid w:val="00BE1301"/>
    <w:rsid w:val="00BE2A17"/>
    <w:rsid w:val="00BE2D95"/>
    <w:rsid w:val="00BE358D"/>
    <w:rsid w:val="00BE5877"/>
    <w:rsid w:val="00BE5CA4"/>
    <w:rsid w:val="00BE5E4E"/>
    <w:rsid w:val="00BF04FF"/>
    <w:rsid w:val="00BF0DF2"/>
    <w:rsid w:val="00BF35DD"/>
    <w:rsid w:val="00BF56C5"/>
    <w:rsid w:val="00C069F9"/>
    <w:rsid w:val="00C07EC2"/>
    <w:rsid w:val="00C110CC"/>
    <w:rsid w:val="00C14788"/>
    <w:rsid w:val="00C148A6"/>
    <w:rsid w:val="00C149DA"/>
    <w:rsid w:val="00C1565C"/>
    <w:rsid w:val="00C33E31"/>
    <w:rsid w:val="00C370F3"/>
    <w:rsid w:val="00C406D6"/>
    <w:rsid w:val="00C412B4"/>
    <w:rsid w:val="00C42860"/>
    <w:rsid w:val="00C533DD"/>
    <w:rsid w:val="00C56EB2"/>
    <w:rsid w:val="00C63819"/>
    <w:rsid w:val="00C640CE"/>
    <w:rsid w:val="00C7661F"/>
    <w:rsid w:val="00C77676"/>
    <w:rsid w:val="00C817D6"/>
    <w:rsid w:val="00C818BF"/>
    <w:rsid w:val="00C84D64"/>
    <w:rsid w:val="00C9024B"/>
    <w:rsid w:val="00C907DC"/>
    <w:rsid w:val="00C92395"/>
    <w:rsid w:val="00C94645"/>
    <w:rsid w:val="00CA4976"/>
    <w:rsid w:val="00CB30CB"/>
    <w:rsid w:val="00CB4369"/>
    <w:rsid w:val="00CC3685"/>
    <w:rsid w:val="00CD11AC"/>
    <w:rsid w:val="00CD3561"/>
    <w:rsid w:val="00CD7FC7"/>
    <w:rsid w:val="00CE3EA1"/>
    <w:rsid w:val="00CE6613"/>
    <w:rsid w:val="00CE79C7"/>
    <w:rsid w:val="00CF0C26"/>
    <w:rsid w:val="00CF72AD"/>
    <w:rsid w:val="00D02CA4"/>
    <w:rsid w:val="00D0472E"/>
    <w:rsid w:val="00D13544"/>
    <w:rsid w:val="00D167CE"/>
    <w:rsid w:val="00D20E59"/>
    <w:rsid w:val="00D320C4"/>
    <w:rsid w:val="00D35F0B"/>
    <w:rsid w:val="00D37300"/>
    <w:rsid w:val="00D415BB"/>
    <w:rsid w:val="00D42393"/>
    <w:rsid w:val="00D43FE5"/>
    <w:rsid w:val="00D50526"/>
    <w:rsid w:val="00D55C0C"/>
    <w:rsid w:val="00D55E0D"/>
    <w:rsid w:val="00D609A6"/>
    <w:rsid w:val="00D64AC9"/>
    <w:rsid w:val="00D65620"/>
    <w:rsid w:val="00D65ABB"/>
    <w:rsid w:val="00D723FE"/>
    <w:rsid w:val="00D736B6"/>
    <w:rsid w:val="00D82DAC"/>
    <w:rsid w:val="00D86290"/>
    <w:rsid w:val="00D91A59"/>
    <w:rsid w:val="00D92E88"/>
    <w:rsid w:val="00DB074A"/>
    <w:rsid w:val="00DB1766"/>
    <w:rsid w:val="00DB2E97"/>
    <w:rsid w:val="00DB5C86"/>
    <w:rsid w:val="00DC282A"/>
    <w:rsid w:val="00DC791F"/>
    <w:rsid w:val="00DD3392"/>
    <w:rsid w:val="00DD43BD"/>
    <w:rsid w:val="00DD58CB"/>
    <w:rsid w:val="00DE0A8F"/>
    <w:rsid w:val="00DE4463"/>
    <w:rsid w:val="00DF0FD7"/>
    <w:rsid w:val="00DF49EB"/>
    <w:rsid w:val="00DF5CC7"/>
    <w:rsid w:val="00DF6CE0"/>
    <w:rsid w:val="00E022BF"/>
    <w:rsid w:val="00E11CA1"/>
    <w:rsid w:val="00E14639"/>
    <w:rsid w:val="00E325F5"/>
    <w:rsid w:val="00E40BE6"/>
    <w:rsid w:val="00E45AF4"/>
    <w:rsid w:val="00E4655A"/>
    <w:rsid w:val="00E5129A"/>
    <w:rsid w:val="00E545DF"/>
    <w:rsid w:val="00E65A9D"/>
    <w:rsid w:val="00E724F1"/>
    <w:rsid w:val="00E84F9F"/>
    <w:rsid w:val="00E95B3C"/>
    <w:rsid w:val="00EA3173"/>
    <w:rsid w:val="00EA3E0C"/>
    <w:rsid w:val="00EC6096"/>
    <w:rsid w:val="00ED214C"/>
    <w:rsid w:val="00ED75B6"/>
    <w:rsid w:val="00EF097D"/>
    <w:rsid w:val="00EF3032"/>
    <w:rsid w:val="00EF7B5B"/>
    <w:rsid w:val="00F047EE"/>
    <w:rsid w:val="00F10976"/>
    <w:rsid w:val="00F14A65"/>
    <w:rsid w:val="00F14E26"/>
    <w:rsid w:val="00F209BC"/>
    <w:rsid w:val="00F30DB0"/>
    <w:rsid w:val="00F34985"/>
    <w:rsid w:val="00F42119"/>
    <w:rsid w:val="00F42504"/>
    <w:rsid w:val="00F426D7"/>
    <w:rsid w:val="00F47CD3"/>
    <w:rsid w:val="00F52BE8"/>
    <w:rsid w:val="00F60B3C"/>
    <w:rsid w:val="00F67192"/>
    <w:rsid w:val="00F74A1E"/>
    <w:rsid w:val="00F756BE"/>
    <w:rsid w:val="00F84434"/>
    <w:rsid w:val="00F9410D"/>
    <w:rsid w:val="00F943C4"/>
    <w:rsid w:val="00F947CA"/>
    <w:rsid w:val="00F976F8"/>
    <w:rsid w:val="00FA2522"/>
    <w:rsid w:val="00FA4144"/>
    <w:rsid w:val="00FA7A32"/>
    <w:rsid w:val="00FB381D"/>
    <w:rsid w:val="00FB651F"/>
    <w:rsid w:val="00FC39F9"/>
    <w:rsid w:val="00FC7E60"/>
    <w:rsid w:val="00FD72DB"/>
    <w:rsid w:val="00FE0DC9"/>
    <w:rsid w:val="00FE38A7"/>
    <w:rsid w:val="00FF11B9"/>
    <w:rsid w:val="00FF32A5"/>
    <w:rsid w:val="00FF3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9419"/>
  <w15:docId w15:val="{241179AA-47A0-4652-80B2-4B3254F9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76" w:lineRule="auto"/>
      <w:ind w:right="8575" w:firstLine="17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363"/>
      <w:outlineLvl w:val="0"/>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 w:type="paragraph" w:styleId="Revision">
    <w:name w:val="Revision"/>
    <w:hidden/>
    <w:uiPriority w:val="99"/>
    <w:semiHidden/>
    <w:rsid w:val="002944ED"/>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2944ED"/>
    <w:rPr>
      <w:sz w:val="16"/>
      <w:szCs w:val="16"/>
    </w:rPr>
  </w:style>
  <w:style w:type="paragraph" w:styleId="CommentText">
    <w:name w:val="annotation text"/>
    <w:basedOn w:val="Normal"/>
    <w:link w:val="CommentTextChar"/>
    <w:uiPriority w:val="99"/>
    <w:semiHidden/>
    <w:unhideWhenUsed/>
    <w:rsid w:val="002944ED"/>
    <w:pPr>
      <w:spacing w:line="240" w:lineRule="auto"/>
    </w:pPr>
    <w:rPr>
      <w:sz w:val="20"/>
      <w:szCs w:val="20"/>
    </w:rPr>
  </w:style>
  <w:style w:type="character" w:customStyle="1" w:styleId="CommentTextChar">
    <w:name w:val="Comment Text Char"/>
    <w:basedOn w:val="DefaultParagraphFont"/>
    <w:link w:val="CommentText"/>
    <w:uiPriority w:val="99"/>
    <w:semiHidden/>
    <w:rsid w:val="002944E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2944ED"/>
    <w:rPr>
      <w:b/>
      <w:bCs/>
    </w:rPr>
  </w:style>
  <w:style w:type="character" w:customStyle="1" w:styleId="CommentSubjectChar">
    <w:name w:val="Comment Subject Char"/>
    <w:basedOn w:val="CommentTextChar"/>
    <w:link w:val="CommentSubject"/>
    <w:uiPriority w:val="99"/>
    <w:semiHidden/>
    <w:rsid w:val="002944ED"/>
    <w:rPr>
      <w:rFonts w:ascii="Calibri" w:eastAsia="Calibri" w:hAnsi="Calibri" w:cs="Calibri"/>
      <w:b/>
      <w:bCs/>
      <w:color w:val="000000"/>
      <w:sz w:val="20"/>
      <w:szCs w:val="20"/>
    </w:rPr>
  </w:style>
  <w:style w:type="paragraph" w:styleId="Header">
    <w:name w:val="header"/>
    <w:basedOn w:val="Normal"/>
    <w:link w:val="HeaderChar"/>
    <w:uiPriority w:val="99"/>
    <w:unhideWhenUsed/>
    <w:rsid w:val="00B47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14C"/>
    <w:rPr>
      <w:rFonts w:ascii="Calibri" w:eastAsia="Calibri" w:hAnsi="Calibri" w:cs="Calibri"/>
      <w:color w:val="000000"/>
    </w:rPr>
  </w:style>
  <w:style w:type="paragraph" w:styleId="Footer">
    <w:name w:val="footer"/>
    <w:basedOn w:val="Normal"/>
    <w:link w:val="FooterChar"/>
    <w:uiPriority w:val="99"/>
    <w:unhideWhenUsed/>
    <w:rsid w:val="00B47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14C"/>
    <w:rPr>
      <w:rFonts w:ascii="Calibri" w:eastAsia="Calibri" w:hAnsi="Calibri" w:cs="Calibri"/>
      <w:color w:val="000000"/>
    </w:rPr>
  </w:style>
  <w:style w:type="paragraph" w:styleId="NormalWeb">
    <w:name w:val="Normal (Web)"/>
    <w:basedOn w:val="Normal"/>
    <w:uiPriority w:val="99"/>
    <w:semiHidden/>
    <w:unhideWhenUsed/>
    <w:rsid w:val="00412FE1"/>
    <w:pPr>
      <w:spacing w:before="100" w:beforeAutospacing="1" w:after="100" w:afterAutospacing="1" w:line="240" w:lineRule="auto"/>
      <w:ind w:right="0" w:firstLine="0"/>
    </w:pPr>
    <w:rPr>
      <w:rFonts w:ascii="Times New Roman" w:eastAsia="Times New Roman" w:hAnsi="Times New Roman" w:cs="Times New Roman"/>
      <w:color w:val="auto"/>
      <w:kern w:val="0"/>
      <w:sz w:val="24"/>
      <w:szCs w:val="24"/>
      <w14:ligatures w14:val="none"/>
    </w:rPr>
  </w:style>
  <w:style w:type="paragraph" w:customStyle="1" w:styleId="paragraph">
    <w:name w:val="paragraph"/>
    <w:basedOn w:val="Normal"/>
    <w:rsid w:val="0079697D"/>
    <w:pPr>
      <w:spacing w:before="100" w:beforeAutospacing="1" w:after="100" w:afterAutospacing="1" w:line="240" w:lineRule="auto"/>
      <w:ind w:right="0" w:firstLine="0"/>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79697D"/>
  </w:style>
  <w:style w:type="character" w:customStyle="1" w:styleId="eop">
    <w:name w:val="eop"/>
    <w:basedOn w:val="DefaultParagraphFont"/>
    <w:rsid w:val="00635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80330">
      <w:bodyDiv w:val="1"/>
      <w:marLeft w:val="0"/>
      <w:marRight w:val="0"/>
      <w:marTop w:val="0"/>
      <w:marBottom w:val="0"/>
      <w:divBdr>
        <w:top w:val="none" w:sz="0" w:space="0" w:color="auto"/>
        <w:left w:val="none" w:sz="0" w:space="0" w:color="auto"/>
        <w:bottom w:val="none" w:sz="0" w:space="0" w:color="auto"/>
        <w:right w:val="none" w:sz="0" w:space="0" w:color="auto"/>
      </w:divBdr>
    </w:div>
    <w:div w:id="985478606">
      <w:bodyDiv w:val="1"/>
      <w:marLeft w:val="0"/>
      <w:marRight w:val="0"/>
      <w:marTop w:val="0"/>
      <w:marBottom w:val="0"/>
      <w:divBdr>
        <w:top w:val="none" w:sz="0" w:space="0" w:color="auto"/>
        <w:left w:val="none" w:sz="0" w:space="0" w:color="auto"/>
        <w:bottom w:val="none" w:sz="0" w:space="0" w:color="auto"/>
        <w:right w:val="none" w:sz="0" w:space="0" w:color="auto"/>
      </w:divBdr>
    </w:div>
    <w:div w:id="1005092026">
      <w:bodyDiv w:val="1"/>
      <w:marLeft w:val="0"/>
      <w:marRight w:val="0"/>
      <w:marTop w:val="0"/>
      <w:marBottom w:val="0"/>
      <w:divBdr>
        <w:top w:val="none" w:sz="0" w:space="0" w:color="auto"/>
        <w:left w:val="none" w:sz="0" w:space="0" w:color="auto"/>
        <w:bottom w:val="none" w:sz="0" w:space="0" w:color="auto"/>
        <w:right w:val="none" w:sz="0" w:space="0" w:color="auto"/>
      </w:divBdr>
    </w:div>
    <w:div w:id="1066025660">
      <w:bodyDiv w:val="1"/>
      <w:marLeft w:val="0"/>
      <w:marRight w:val="0"/>
      <w:marTop w:val="0"/>
      <w:marBottom w:val="0"/>
      <w:divBdr>
        <w:top w:val="none" w:sz="0" w:space="0" w:color="auto"/>
        <w:left w:val="none" w:sz="0" w:space="0" w:color="auto"/>
        <w:bottom w:val="none" w:sz="0" w:space="0" w:color="auto"/>
        <w:right w:val="none" w:sz="0" w:space="0" w:color="auto"/>
      </w:divBdr>
    </w:div>
    <w:div w:id="1114247602">
      <w:bodyDiv w:val="1"/>
      <w:marLeft w:val="0"/>
      <w:marRight w:val="0"/>
      <w:marTop w:val="0"/>
      <w:marBottom w:val="0"/>
      <w:divBdr>
        <w:top w:val="none" w:sz="0" w:space="0" w:color="auto"/>
        <w:left w:val="none" w:sz="0" w:space="0" w:color="auto"/>
        <w:bottom w:val="none" w:sz="0" w:space="0" w:color="auto"/>
        <w:right w:val="none" w:sz="0" w:space="0" w:color="auto"/>
      </w:divBdr>
    </w:div>
    <w:div w:id="1884100898">
      <w:bodyDiv w:val="1"/>
      <w:marLeft w:val="0"/>
      <w:marRight w:val="0"/>
      <w:marTop w:val="0"/>
      <w:marBottom w:val="0"/>
      <w:divBdr>
        <w:top w:val="none" w:sz="0" w:space="0" w:color="auto"/>
        <w:left w:val="none" w:sz="0" w:space="0" w:color="auto"/>
        <w:bottom w:val="none" w:sz="0" w:space="0" w:color="auto"/>
        <w:right w:val="none" w:sz="0" w:space="0" w:color="auto"/>
      </w:divBdr>
    </w:div>
    <w:div w:id="1983536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743</Words>
  <Characters>3764</Characters>
  <Application>Microsoft Office Word</Application>
  <DocSecurity>0</DocSecurity>
  <Lines>83</Lines>
  <Paragraphs>47</Paragraphs>
  <ScaleCrop>false</ScaleCrop>
  <HeadingPairs>
    <vt:vector size="2" baseType="variant">
      <vt:variant>
        <vt:lpstr>Title</vt:lpstr>
      </vt:variant>
      <vt:variant>
        <vt:i4>1</vt:i4>
      </vt:variant>
    </vt:vector>
  </HeadingPairs>
  <TitlesOfParts>
    <vt:vector size="1" baseType="lpstr">
      <vt:lpstr>Press Release rlt award final july11[44][47]</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rlt award final july11[44][47]</dc:title>
  <dc:subject/>
  <dc:creator>Edd Gibson</dc:creator>
  <cp:keywords/>
  <cp:lastModifiedBy>Pittman, Sandra K</cp:lastModifiedBy>
  <cp:revision>2</cp:revision>
  <dcterms:created xsi:type="dcterms:W3CDTF">2024-06-10T22:10:00Z</dcterms:created>
  <dcterms:modified xsi:type="dcterms:W3CDTF">2024-06-10T22:10:00Z</dcterms:modified>
</cp:coreProperties>
</file>